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72" w:rsidRPr="00FB205C" w:rsidRDefault="00415523" w:rsidP="00FB205C">
      <w:pPr>
        <w:pStyle w:val="Heading1"/>
        <w:bidi/>
        <w:rPr>
          <w:rFonts w:asciiTheme="minorBidi" w:hAnsiTheme="minorBidi" w:cstheme="minorBidi"/>
          <w:color w:val="000000" w:themeColor="text1"/>
          <w:sz w:val="24"/>
          <w:szCs w:val="24"/>
          <w:lang w:bidi="ar-QA"/>
        </w:rPr>
      </w:pPr>
      <w:r w:rsidRPr="00FB205C">
        <w:rPr>
          <w:rFonts w:asciiTheme="minorBidi" w:hAnsiTheme="minorBidi" w:cstheme="minorBidi"/>
          <w:color w:val="000000" w:themeColor="text1"/>
          <w:sz w:val="24"/>
          <w:szCs w:val="24"/>
          <w:lang w:bidi="ar-QA"/>
        </w:rPr>
        <w:t xml:space="preserve"> **</w:t>
      </w:r>
      <w:r w:rsidR="00EC1572" w:rsidRPr="00FB205C">
        <w:rPr>
          <w:rFonts w:asciiTheme="minorBidi" w:hAnsiTheme="minorBidi" w:cstheme="minorBidi" w:hint="cs"/>
          <w:color w:val="000000" w:themeColor="text1"/>
          <w:sz w:val="24"/>
          <w:szCs w:val="24"/>
          <w:rtl/>
          <w:lang w:bidi="ar-QA"/>
        </w:rPr>
        <w:t xml:space="preserve">يُمكن تحميل هذه الوثيقة من </w:t>
      </w:r>
      <w:hyperlink r:id="rId8" w:history="1">
        <w:r w:rsidR="00EC1572" w:rsidRPr="00FD308F">
          <w:rPr>
            <w:rStyle w:val="Hyperlink"/>
            <w:rFonts w:asciiTheme="minorBidi" w:hAnsiTheme="minorBidi" w:cstheme="minorBidi" w:hint="cs"/>
            <w:sz w:val="24"/>
            <w:szCs w:val="24"/>
            <w:rtl/>
            <w:lang w:bidi="ar-QA"/>
          </w:rPr>
          <w:t>موقع الأمم المتحدة</w:t>
        </w:r>
      </w:hyperlink>
      <w:bookmarkStart w:id="0" w:name="_GoBack"/>
      <w:bookmarkEnd w:id="0"/>
      <w:r w:rsidR="00EC1572" w:rsidRPr="00FB205C">
        <w:rPr>
          <w:rFonts w:asciiTheme="minorBidi" w:hAnsiTheme="minorBidi" w:cstheme="minorBidi" w:hint="cs"/>
          <w:color w:val="000000" w:themeColor="text1"/>
          <w:sz w:val="24"/>
          <w:szCs w:val="24"/>
          <w:rtl/>
          <w:lang w:bidi="ar-QA"/>
        </w:rPr>
        <w:t xml:space="preserve"> </w:t>
      </w:r>
    </w:p>
    <w:p w:rsidR="00EC1572" w:rsidRPr="00EC1572" w:rsidRDefault="00EC1572" w:rsidP="00EC1572">
      <w:pPr>
        <w:bidi/>
        <w:rPr>
          <w:rtl/>
          <w:lang w:bidi="ar-QA"/>
        </w:rPr>
      </w:pPr>
    </w:p>
    <w:p w:rsidR="00EC1572" w:rsidRPr="00EC1572" w:rsidRDefault="00EC1572" w:rsidP="00EC1572">
      <w:pPr>
        <w:bidi/>
        <w:rPr>
          <w:rtl/>
          <w:lang w:bidi="ar-QA"/>
        </w:rPr>
      </w:pPr>
    </w:p>
    <w:p w:rsidR="00DD2A0B" w:rsidRDefault="00DD2A0B" w:rsidP="00EC1572">
      <w:pPr>
        <w:pStyle w:val="Heading1"/>
        <w:bidi/>
        <w:rPr>
          <w:rFonts w:asciiTheme="minorBidi" w:hAnsiTheme="minorBidi" w:cstheme="minorBidi"/>
          <w:sz w:val="40"/>
          <w:szCs w:val="40"/>
          <w:rtl/>
        </w:rPr>
      </w:pPr>
      <w:r w:rsidRPr="00443AB2">
        <w:rPr>
          <w:rFonts w:asciiTheme="minorBidi" w:hAnsiTheme="minorBidi" w:cstheme="minorBidi"/>
          <w:sz w:val="40"/>
          <w:szCs w:val="40"/>
          <w:rtl/>
        </w:rPr>
        <w:t>ا</w:t>
      </w:r>
      <w:r w:rsidR="00B15829">
        <w:rPr>
          <w:rFonts w:asciiTheme="minorBidi" w:hAnsiTheme="minorBidi" w:cstheme="minorBidi" w:hint="cs"/>
          <w:sz w:val="40"/>
          <w:szCs w:val="40"/>
          <w:rtl/>
        </w:rPr>
        <w:t>لا</w:t>
      </w:r>
      <w:r w:rsidRPr="00443AB2">
        <w:rPr>
          <w:rFonts w:asciiTheme="minorBidi" w:hAnsiTheme="minorBidi" w:cstheme="minorBidi"/>
          <w:sz w:val="40"/>
          <w:szCs w:val="40"/>
          <w:rtl/>
        </w:rPr>
        <w:t>تفاقية</w:t>
      </w:r>
      <w:r w:rsidR="00B15829">
        <w:rPr>
          <w:rFonts w:asciiTheme="minorBidi" w:hAnsiTheme="minorBidi" w:cstheme="minorBidi" w:hint="cs"/>
          <w:sz w:val="40"/>
          <w:szCs w:val="40"/>
          <w:rtl/>
        </w:rPr>
        <w:t xml:space="preserve"> الدولية</w:t>
      </w:r>
      <w:r w:rsidRPr="00443AB2">
        <w:rPr>
          <w:rFonts w:asciiTheme="minorBidi" w:hAnsiTheme="minorBidi" w:cstheme="minorBidi"/>
          <w:sz w:val="40"/>
          <w:szCs w:val="40"/>
          <w:rtl/>
        </w:rPr>
        <w:t xml:space="preserve"> </w:t>
      </w:r>
      <w:r w:rsidR="00B15829">
        <w:rPr>
          <w:rFonts w:asciiTheme="minorBidi" w:hAnsiTheme="minorBidi" w:cstheme="minorBidi" w:hint="cs"/>
          <w:sz w:val="40"/>
          <w:szCs w:val="40"/>
          <w:rtl/>
        </w:rPr>
        <w:t>ل</w:t>
      </w:r>
      <w:r w:rsidRPr="00443AB2">
        <w:rPr>
          <w:rFonts w:asciiTheme="minorBidi" w:hAnsiTheme="minorBidi" w:cstheme="minorBidi"/>
          <w:sz w:val="40"/>
          <w:szCs w:val="40"/>
          <w:rtl/>
        </w:rPr>
        <w:t>حقوق الأشخاص</w:t>
      </w:r>
      <w:r w:rsidR="00443AB2" w:rsidRPr="00443AB2">
        <w:rPr>
          <w:rFonts w:asciiTheme="minorBidi" w:hAnsiTheme="minorBidi" w:cstheme="minorBidi"/>
          <w:sz w:val="40"/>
          <w:szCs w:val="40"/>
          <w:rtl/>
          <w:lang w:bidi="ar-QA"/>
        </w:rPr>
        <w:t xml:space="preserve"> </w:t>
      </w:r>
      <w:r w:rsidRPr="00443AB2">
        <w:rPr>
          <w:rFonts w:asciiTheme="minorBidi" w:hAnsiTheme="minorBidi" w:cstheme="minorBidi"/>
          <w:sz w:val="40"/>
          <w:szCs w:val="40"/>
          <w:rtl/>
        </w:rPr>
        <w:t>ذوي الإعاقة</w:t>
      </w:r>
      <w:r w:rsidR="00B15829">
        <w:rPr>
          <w:rFonts w:asciiTheme="minorBidi" w:hAnsiTheme="minorBidi" w:cstheme="minorBidi" w:hint="cs"/>
          <w:sz w:val="40"/>
          <w:szCs w:val="40"/>
          <w:rtl/>
        </w:rPr>
        <w:t xml:space="preserve"> والبروتوكول الاختياري</w:t>
      </w:r>
    </w:p>
    <w:p w:rsidR="0052000E" w:rsidRDefault="0052000E" w:rsidP="0090070D">
      <w:pPr>
        <w:bidi/>
        <w:rPr>
          <w:rtl/>
        </w:rPr>
      </w:pPr>
    </w:p>
    <w:p w:rsidR="00B15829" w:rsidRDefault="00B15829" w:rsidP="00B15829">
      <w:pPr>
        <w:pStyle w:val="Heading2"/>
        <w:bidi/>
        <w:rPr>
          <w:rFonts w:asciiTheme="minorBidi" w:eastAsia="Times New Roman" w:hAnsiTheme="minorBidi" w:cstheme="minorBidi"/>
          <w:color w:val="1F4E79" w:themeColor="accent1" w:themeShade="80"/>
          <w:sz w:val="36"/>
          <w:szCs w:val="36"/>
          <w:rtl/>
        </w:rPr>
      </w:pPr>
      <w:r w:rsidRPr="00B15829">
        <w:rPr>
          <w:rFonts w:asciiTheme="minorBidi" w:eastAsia="Times New Roman" w:hAnsiTheme="minorBidi" w:cstheme="minorBidi"/>
          <w:color w:val="1F4E79" w:themeColor="accent1" w:themeShade="80"/>
          <w:sz w:val="36"/>
          <w:szCs w:val="36"/>
          <w:rtl/>
        </w:rPr>
        <w:t>ا</w:t>
      </w:r>
      <w:r w:rsidRPr="00B15829">
        <w:rPr>
          <w:rFonts w:asciiTheme="minorBidi" w:eastAsia="Times New Roman" w:hAnsiTheme="minorBidi" w:cstheme="minorBidi" w:hint="cs"/>
          <w:color w:val="1F4E79" w:themeColor="accent1" w:themeShade="80"/>
          <w:sz w:val="36"/>
          <w:szCs w:val="36"/>
          <w:rtl/>
        </w:rPr>
        <w:t>لا</w:t>
      </w:r>
      <w:r w:rsidRPr="00B15829">
        <w:rPr>
          <w:rFonts w:asciiTheme="minorBidi" w:eastAsia="Times New Roman" w:hAnsiTheme="minorBidi" w:cstheme="minorBidi"/>
          <w:color w:val="1F4E79" w:themeColor="accent1" w:themeShade="80"/>
          <w:sz w:val="36"/>
          <w:szCs w:val="36"/>
          <w:rtl/>
        </w:rPr>
        <w:t>تفاقية</w:t>
      </w:r>
      <w:r w:rsidRPr="00B15829">
        <w:rPr>
          <w:rFonts w:asciiTheme="minorBidi" w:eastAsia="Times New Roman" w:hAnsiTheme="minorBidi" w:cstheme="minorBidi" w:hint="cs"/>
          <w:color w:val="1F4E79" w:themeColor="accent1" w:themeShade="80"/>
          <w:sz w:val="36"/>
          <w:szCs w:val="36"/>
          <w:rtl/>
        </w:rPr>
        <w:t xml:space="preserve"> الدولية</w:t>
      </w:r>
      <w:r w:rsidRPr="00B15829">
        <w:rPr>
          <w:rFonts w:asciiTheme="minorBidi" w:eastAsia="Times New Roman" w:hAnsiTheme="minorBidi" w:cstheme="minorBidi"/>
          <w:color w:val="1F4E79" w:themeColor="accent1" w:themeShade="80"/>
          <w:sz w:val="36"/>
          <w:szCs w:val="36"/>
          <w:rtl/>
        </w:rPr>
        <w:t xml:space="preserve"> </w:t>
      </w:r>
      <w:r w:rsidRPr="00B15829">
        <w:rPr>
          <w:rFonts w:asciiTheme="minorBidi" w:eastAsia="Times New Roman" w:hAnsiTheme="minorBidi" w:cstheme="minorBidi" w:hint="cs"/>
          <w:color w:val="1F4E79" w:themeColor="accent1" w:themeShade="80"/>
          <w:sz w:val="36"/>
          <w:szCs w:val="36"/>
          <w:rtl/>
        </w:rPr>
        <w:t>ل</w:t>
      </w:r>
      <w:r w:rsidRPr="00B15829">
        <w:rPr>
          <w:rFonts w:asciiTheme="minorBidi" w:eastAsia="Times New Roman" w:hAnsiTheme="minorBidi" w:cstheme="minorBidi"/>
          <w:color w:val="1F4E79" w:themeColor="accent1" w:themeShade="80"/>
          <w:sz w:val="36"/>
          <w:szCs w:val="36"/>
          <w:rtl/>
        </w:rPr>
        <w:t>حقوق الأشخاص ذوي الإعاقة</w:t>
      </w:r>
    </w:p>
    <w:p w:rsidR="0052000E" w:rsidRPr="00B15829" w:rsidRDefault="00DD2A0B" w:rsidP="00B15829">
      <w:pPr>
        <w:pStyle w:val="Heading3"/>
        <w:bidi/>
        <w:rPr>
          <w:rFonts w:asciiTheme="minorBidi" w:hAnsiTheme="minorBidi" w:cstheme="minorBidi"/>
          <w:color w:val="1F4E79" w:themeColor="accent1" w:themeShade="80"/>
          <w:sz w:val="32"/>
          <w:szCs w:val="32"/>
          <w:rtl/>
        </w:rPr>
      </w:pPr>
      <w:bookmarkStart w:id="1" w:name="preamble"/>
      <w:r w:rsidRPr="00B15829">
        <w:rPr>
          <w:rFonts w:asciiTheme="minorBidi" w:hAnsiTheme="minorBidi" w:cstheme="minorBidi"/>
          <w:color w:val="1F4E79" w:themeColor="accent1" w:themeShade="80"/>
          <w:sz w:val="32"/>
          <w:szCs w:val="32"/>
          <w:rtl/>
        </w:rPr>
        <w:t>الديباجة</w:t>
      </w:r>
    </w:p>
    <w:p w:rsidR="00DD2A0B" w:rsidRDefault="00DD2A0B" w:rsidP="0090070D">
      <w:pPr>
        <w:pStyle w:val="Heading1"/>
        <w:bidi/>
        <w:rPr>
          <w:rFonts w:asciiTheme="minorBidi" w:eastAsia="Times New Roman" w:hAnsiTheme="minorBidi" w:cstheme="minorBidi"/>
          <w:color w:val="000000" w:themeColor="text1"/>
          <w:rtl/>
        </w:rPr>
      </w:pPr>
      <w:r w:rsidRPr="00443AB2">
        <w:rPr>
          <w:rFonts w:asciiTheme="minorBidi" w:eastAsia="Times New Roman" w:hAnsiTheme="minorBidi" w:cstheme="minorBidi"/>
          <w:color w:val="000000" w:themeColor="text1"/>
          <w:rtl/>
        </w:rPr>
        <w:t>إن الدول الأطراف في هذه الاتفاقية</w:t>
      </w:r>
      <w:bookmarkEnd w:id="1"/>
      <w:r w:rsidR="0052000E">
        <w:rPr>
          <w:rFonts w:asciiTheme="minorBidi" w:eastAsia="Times New Roman" w:hAnsiTheme="minorBidi" w:cstheme="minorBidi" w:hint="cs"/>
          <w:color w:val="000000" w:themeColor="text1"/>
          <w:rtl/>
        </w:rPr>
        <w:t>،</w:t>
      </w:r>
    </w:p>
    <w:p w:rsidR="0052000E" w:rsidRPr="0052000E" w:rsidRDefault="0052000E" w:rsidP="0090070D">
      <w:pPr>
        <w:bidi/>
        <w:rPr>
          <w:rtl/>
        </w:rPr>
      </w:pP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إذ تشير إلى المبادئ المنصوص عليها في ميثاق الأمم المتحدة التي تعترف بما لجميع أفراد الأسرة الإنسانية من كرامة وقيم متأصلة وحقوق متساوية غير قابلة للتصرف كأساس للحرية والعدالة والسلام في العالم،</w:t>
      </w:r>
    </w:p>
    <w:p w:rsidR="0052000E" w:rsidRDefault="0052000E"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Pr>
          <w:rFonts w:asciiTheme="minorBidi" w:eastAsia="Times New Roman" w:hAnsiTheme="minorBidi" w:hint="cs"/>
          <w:color w:val="000000" w:themeColor="text1"/>
          <w:sz w:val="32"/>
          <w:szCs w:val="32"/>
          <w:rtl/>
        </w:rPr>
        <w:t>و</w:t>
      </w:r>
      <w:r w:rsidR="00DD2A0B" w:rsidRPr="0052000E">
        <w:rPr>
          <w:rFonts w:asciiTheme="minorBidi" w:eastAsia="Times New Roman" w:hAnsiTheme="minorBidi"/>
          <w:color w:val="000000" w:themeColor="text1"/>
          <w:sz w:val="32"/>
          <w:szCs w:val="32"/>
          <w:rtl/>
        </w:rPr>
        <w:t>إذ تعترف بأن الأمم المتحدة قد أعلنت ووافقت، في الإعلان العالمي لحقوق الإنسان وفي العهدين الدوليين الخاصين بحقوق الإنسان، على أن لكل فرد، دون تمييز من أي نوع، الحق في التمتع بجميع الحقوق والحريات المنصوص عليها في تلك الصكوك،</w:t>
      </w:r>
    </w:p>
    <w:p w:rsidR="0052000E" w:rsidRDefault="0052000E"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hint="cs"/>
          <w:color w:val="000000" w:themeColor="text1"/>
          <w:sz w:val="32"/>
          <w:szCs w:val="32"/>
          <w:rtl/>
        </w:rPr>
        <w:t>و</w:t>
      </w:r>
      <w:r w:rsidR="00DD2A0B" w:rsidRPr="0052000E">
        <w:rPr>
          <w:rFonts w:asciiTheme="minorBidi" w:eastAsia="Times New Roman" w:hAnsiTheme="minorBidi"/>
          <w:color w:val="000000" w:themeColor="text1"/>
          <w:sz w:val="32"/>
          <w:szCs w:val="32"/>
          <w:rtl/>
        </w:rPr>
        <w:t>إذ تؤكد من جديد الطابع العالمي لجميع حقوق الإنسان والحريات الأساسية وعدم قابليتها للتجزئة وترابطها وتعاضدها وضرورة ضمان تمتع الأشخاص ذوي الإعاقة بهذه الحقوق بشكل كامل ودون تمييز،</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تشير إلى العهد الدولي الخاص بالحقوق الاقتصادية والاجتماعية والثقافية، والعهد الدولي الخاص بالحقوق المدنية والسياسية، والاتفاقية الدولية للقضاء على جميع أشكال التمييز العنصري، واتفاقية القضاء على جميع أشكال التمييز ضد المرأة، واتفاقية مناهضة التعذيب وغيره من ضروب المعاملة أو العقوبة القاسية أو اللاإنسانية أو المهينة، واتفاقية حقوق الطفل، والاتفاقية الدولية لحماية حقوق جميع العمال المهاجرين وأفراد أسرهم،</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lastRenderedPageBreak/>
        <w:t>وإذ تدرك أن الإعاقة تشكِّل مفهوما لا يزال قيد التطور وأن الإعاقة تحدث بسبب التفاعل بين الأشخاص المصابين بعاهة، والحواجز في المواقف والبيئات المحيطة التي تحول دون مشاركتهم مشاركة كاملة فعالة في مجتمعهم على قدم المساواة مع الآخرين،</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بأهمية المبادئ، والمبادئ التوجيهية المتعلقة بالسياسات الواردة في برنامج العمل العالمي المتعلق بالمعوقين والقواعد الموحدة المتعلقة بتحقيق تكافؤ الفرص للأشخاص ذوي الإعاقة في تعزيز وصياغة وتقييم السياسات والخطط والبرامج والإجراءات على الصعيد الوطني والإقليمي والدولي لزيادة تكافؤ الفرص للأشخاص ذوي الإعاقة،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تؤكد أهمية إدماج قضايا الأشخاص ذوي الإعاقة كجزء لا يتجزأ من استراتيجيات التنمية المستدامة،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أيضا بأن التمييز ضد أي شخص على أساس الإعاقة يمثل انتهاكا للكرامة والقيمة المتأصلة للفرد،</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كذلك بتنوع الأشخاص ذوي الإعاقة،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تقر بالحاجة إلى تعزيز وحماية حقوق الإنسان لجميع الأشخاص ذوي الإعاقة، بمن فيهم أولئك الذين يحتاجون دعما أكثر تركيزا.</w:t>
      </w:r>
      <w:r w:rsidRPr="0052000E">
        <w:rPr>
          <w:rFonts w:asciiTheme="minorBidi" w:eastAsia="Times New Roman" w:hAnsiTheme="minorBidi"/>
          <w:color w:val="000000" w:themeColor="text1"/>
          <w:sz w:val="32"/>
          <w:szCs w:val="32"/>
        </w:rPr>
        <w:t xml:space="preserve"> </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يساورها القلق لأن الأشخاص ذوي الإعاقة، بالرغم من مختلف هذه الصكوك والعهود، لا يزالون يواجهون في جميع أنحاء العالم حواجز تعترض مشاركتهم كأعضاء في المجتمع على قدم المساواة مع الآخرين وانتهاكات لحقوق الإنسان المكفولة لهم،</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تقر بأهمية التعاون الدولي في تحسين الظروف المعيشية للأشخاص ذوي الإعاقة في كل البلدان، وبخاصة في البلدان النامية،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 xml:space="preserve">وإذ تعترف بالمساهمة القيّمة الحالية والمحتملة للأشخاص ذوي الإعاقة في تحقيق رفاه مجتمعاتهم وتنوعها عموما، وبأن تشجيع تمتعهم بصورة كاملة بحقوق الإنسان والحريات </w:t>
      </w:r>
      <w:r w:rsidRPr="0052000E">
        <w:rPr>
          <w:rFonts w:asciiTheme="minorBidi" w:eastAsia="Times New Roman" w:hAnsiTheme="minorBidi"/>
          <w:color w:val="000000" w:themeColor="text1"/>
          <w:sz w:val="32"/>
          <w:szCs w:val="32"/>
          <w:rtl/>
        </w:rPr>
        <w:lastRenderedPageBreak/>
        <w:t>الأساسية ومشاركتهم الكاملة سيفضي إلى زيادة الشعور بالانتماء وتحقيق تقدم كبير في التنمية البشرية والاجتماعية والاقتصادية للمجتمع والقضاء على الفقر،</w:t>
      </w:r>
      <w:r w:rsidRPr="0052000E">
        <w:rPr>
          <w:rFonts w:asciiTheme="minorBidi" w:eastAsia="Times New Roman" w:hAnsiTheme="minorBidi"/>
          <w:color w:val="000000" w:themeColor="text1"/>
          <w:sz w:val="32"/>
          <w:szCs w:val="32"/>
        </w:rPr>
        <w:t xml:space="preserve"> </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بأهمية تمتع الأشخاص ذوي الإعاقة باستقلالهم الذاتي واعتمادهم على أنفسهم، بما في ذلك حرية تحديد خياراتهم بأنفسهم،</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ترى أنه ينبغي أن تتاح للأشخاص ذوي الإعاقة فرصة المشاركة بفعالية في عمليات اتخاذ القرارات بشأن السياسات والبرامج، بما في ذلك تلك التي تهمهم مباشرة،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 xml:space="preserve">وإذ يساورها القلق إزاء الظروف الصعبة التي </w:t>
      </w:r>
      <w:proofErr w:type="spellStart"/>
      <w:r w:rsidRPr="0052000E">
        <w:rPr>
          <w:rFonts w:asciiTheme="minorBidi" w:eastAsia="Times New Roman" w:hAnsiTheme="minorBidi"/>
          <w:color w:val="000000" w:themeColor="text1"/>
          <w:sz w:val="32"/>
          <w:szCs w:val="32"/>
          <w:rtl/>
        </w:rPr>
        <w:t>يواجهها</w:t>
      </w:r>
      <w:proofErr w:type="spellEnd"/>
      <w:r w:rsidRPr="0052000E">
        <w:rPr>
          <w:rFonts w:asciiTheme="minorBidi" w:eastAsia="Times New Roman" w:hAnsiTheme="minorBidi"/>
          <w:color w:val="000000" w:themeColor="text1"/>
          <w:sz w:val="32"/>
          <w:szCs w:val="32"/>
          <w:rtl/>
        </w:rPr>
        <w:t xml:space="preserve"> الأشخاص ذوو الإعاقة الذين يتعرضون لأشكال متعددة أو مشددة من التمييز على أساس العرق أو اللون أو الجنس أو اللغة أو الدين أو الرأي السياسي وغيره من الآراء أو الأصل الوطني أو العرقي أو الاجتماعي أو الملكية أو المولد أو السن أو أي مركز آخر،</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بأن النساء والفتيات ذوات الإعاقة غالبا ما يواجهن خطرا أكبر في التعرض، سواء داخل المنـزل أو خارجه، للعنف أو الإصابة أو الاعتداء، والإهمال أو المعاملة غير اللائقة، وسوء المعاملة أو الاستغلال،</w:t>
      </w:r>
    </w:p>
    <w:p w:rsidR="00E34792" w:rsidRDefault="0052000E"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hint="cs"/>
          <w:color w:val="000000" w:themeColor="text1"/>
          <w:sz w:val="32"/>
          <w:szCs w:val="32"/>
          <w:rtl/>
        </w:rPr>
        <w:t>و</w:t>
      </w:r>
      <w:r w:rsidR="00DD2A0B" w:rsidRPr="00E34792">
        <w:rPr>
          <w:rFonts w:asciiTheme="minorBidi" w:eastAsia="Times New Roman" w:hAnsiTheme="minorBidi"/>
          <w:color w:val="000000" w:themeColor="text1"/>
          <w:sz w:val="32"/>
          <w:szCs w:val="32"/>
          <w:rtl/>
        </w:rPr>
        <w:t>إذ تعترف أيضا</w:t>
      </w:r>
      <w:r w:rsidRPr="00E34792">
        <w:rPr>
          <w:rFonts w:asciiTheme="minorBidi" w:eastAsia="Times New Roman" w:hAnsiTheme="minorBidi" w:hint="cs"/>
          <w:color w:val="000000" w:themeColor="text1"/>
          <w:sz w:val="32"/>
          <w:szCs w:val="32"/>
          <w:rtl/>
        </w:rPr>
        <w:t xml:space="preserve"> </w:t>
      </w:r>
      <w:r w:rsidR="00DD2A0B" w:rsidRPr="00E34792">
        <w:rPr>
          <w:rFonts w:asciiTheme="minorBidi" w:eastAsia="Times New Roman" w:hAnsiTheme="minorBidi"/>
          <w:color w:val="000000" w:themeColor="text1"/>
          <w:sz w:val="32"/>
          <w:szCs w:val="32"/>
          <w:rtl/>
        </w:rPr>
        <w:t>بأنه ينبغي أن يتمتع الأطفال ذوو الإعاقة تمتعا كاملا بجميع حقوق الإنسان والحريات الأساسية على قدم المساواة مع الأطفال الآخرين، وإذ تشير إلى الالتزامات التي تعهدت بها الدول الأطراف في اتفاقية حقوق الطفل تحقيقا لتلك الغاية،</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تؤكد</w:t>
      </w:r>
      <w:r w:rsidR="00E34792" w:rsidRPr="00E34792">
        <w:rPr>
          <w:rFonts w:asciiTheme="minorBidi" w:eastAsia="Times New Roman" w:hAnsiTheme="minorBidi" w:hint="cs"/>
          <w:color w:val="000000" w:themeColor="text1"/>
          <w:sz w:val="32"/>
          <w:szCs w:val="32"/>
          <w:rtl/>
        </w:rPr>
        <w:t xml:space="preserve"> </w:t>
      </w:r>
      <w:r w:rsidRPr="00E34792">
        <w:rPr>
          <w:rFonts w:asciiTheme="minorBidi" w:eastAsia="Times New Roman" w:hAnsiTheme="minorBidi"/>
          <w:color w:val="000000" w:themeColor="text1"/>
          <w:sz w:val="32"/>
          <w:szCs w:val="32"/>
          <w:rtl/>
        </w:rPr>
        <w:t>الحاجة إلى إدماج منظور جنساني في جميع الجهود الرامية إلى تشجيع تمتع الأشخاص ذوي الإعاقة الكامل بحقوق الإنسان والحريات الأساسية،</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تبرز أن أكثرية الأشخاص ذوي الإعاقة يعيشون في ظروف يسودها الفقر، وإذ تقر في هذا الصدد بالحاجة الملحة إلى تخفيف ما للفقر من تأثير سلبي على الأشخاص ذوي الإعاقة،</w:t>
      </w:r>
      <w:r w:rsidRPr="00E34792">
        <w:rPr>
          <w:rFonts w:asciiTheme="minorBidi" w:eastAsia="Times New Roman" w:hAnsiTheme="minorBidi"/>
          <w:color w:val="000000" w:themeColor="text1"/>
          <w:sz w:val="32"/>
          <w:szCs w:val="32"/>
        </w:rPr>
        <w:t xml:space="preserve"> </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تضع في اعتبارها</w:t>
      </w:r>
      <w:r w:rsidR="00E34792" w:rsidRPr="00E34792">
        <w:rPr>
          <w:rFonts w:asciiTheme="minorBidi" w:eastAsia="Times New Roman" w:hAnsiTheme="minorBidi" w:hint="cs"/>
          <w:color w:val="000000" w:themeColor="text1"/>
          <w:sz w:val="32"/>
          <w:szCs w:val="32"/>
          <w:rtl/>
        </w:rPr>
        <w:t xml:space="preserve"> </w:t>
      </w:r>
      <w:r w:rsidRPr="00E34792">
        <w:rPr>
          <w:rFonts w:asciiTheme="minorBidi" w:eastAsia="Times New Roman" w:hAnsiTheme="minorBidi"/>
          <w:color w:val="000000" w:themeColor="text1"/>
          <w:sz w:val="32"/>
          <w:szCs w:val="32"/>
          <w:rtl/>
        </w:rPr>
        <w:t xml:space="preserve">أن توفر أوضاع يسودها السلام والأمن القائم على الاحترام التام للمقاصد والمبادئ المنصوص عليها في ميثاق الأمم المتحدة واحترام صكوك حقوق </w:t>
      </w:r>
      <w:r w:rsidRPr="00E34792">
        <w:rPr>
          <w:rFonts w:asciiTheme="minorBidi" w:eastAsia="Times New Roman" w:hAnsiTheme="minorBidi"/>
          <w:color w:val="000000" w:themeColor="text1"/>
          <w:sz w:val="32"/>
          <w:szCs w:val="32"/>
          <w:rtl/>
        </w:rPr>
        <w:lastRenderedPageBreak/>
        <w:t>الإنسان السارية هي أمور لا غنى عنها لتوفير الحماية الكاملة للأشخاص ذوي الإعاقة، ولا سيما في حالات النزاع المسلح والاحتلال الأجنبي،</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تعترف بما لإمكانية الوصول إلى البيئة المادية والاجتماعية والاقتصادية والثقافية وخدمات الصحة والتعليم والإعلام والاتصال من أهمية لتمكين الأشخاص ذوي الإعاقة من التمتع الكامل بجميع حقوق الإنسان والحريات الأساسية،</w:t>
      </w:r>
      <w:r w:rsidRPr="00E34792">
        <w:rPr>
          <w:rFonts w:asciiTheme="minorBidi" w:eastAsia="Times New Roman" w:hAnsiTheme="minorBidi"/>
          <w:color w:val="000000" w:themeColor="text1"/>
          <w:sz w:val="32"/>
          <w:szCs w:val="32"/>
        </w:rPr>
        <w:t xml:space="preserve"> </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تدرك أن الفرد، الذي يتحمل واجبات تجاه الأفراد الآخرين والمجتمع الذي ينتمي إليه، تقع على عاتقه مسؤولية السعي من أجل تعزيز الحقوق المكرسة في الشرعة الدولية لحقوق الإنسان وإعمال تلك الحقوق،</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واقتناعا منها بأن الأسرة هي الوحدة الطبيعية والأساسية للمجتمع وأنها تستحق الحماية من جانب المجتمع والدولة، وأن الأشخاص ذوي الإعاقة وأفراد أسرهم ينبغي أن يحصلوا على الحماية والمساعدة اللازمة لتمكين الأسر من المساهمة في التمتع الكامل على قدم المساواة بحقوق الأشخاص ذوي الإعاقة؛</w:t>
      </w:r>
    </w:p>
    <w:p w:rsidR="00DD2A0B" w:rsidRP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واقتناعا منها بأن اتفاقية دولية شاملة ومتكاملة لحماية وتعزيز حقوق الأشخاص ذوي الإعاقة وكرامتهم ستقدم مساهمة جوهرية في تدارك الحرمان الاجتماعي البالغ للأشخاص ذوي الإعاقة، وستشجع مشاركتهم في المجالات المدنية والسياسية والاقتصادية والاجتماعية والثقافية على أساس تكافؤ الفرص، سواء في البلدان النامية أو البلدان المتقدمة النمو،</w:t>
      </w:r>
      <w:r w:rsidRPr="00E3479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قد اتفقت على ما يلي</w:t>
      </w:r>
      <w:r w:rsidRPr="00443AB2">
        <w:rPr>
          <w:rFonts w:asciiTheme="minorBidi" w:eastAsia="Times New Roman" w:hAnsiTheme="minorBidi"/>
          <w:color w:val="000000" w:themeColor="text1"/>
          <w:sz w:val="32"/>
          <w:szCs w:val="32"/>
        </w:rPr>
        <w:t>:</w:t>
      </w:r>
    </w:p>
    <w:p w:rsidR="00DD2A0B" w:rsidRPr="009B571A" w:rsidRDefault="00DD2A0B" w:rsidP="0090070D">
      <w:pPr>
        <w:pStyle w:val="Heading3"/>
        <w:bidi/>
        <w:rPr>
          <w:rFonts w:asciiTheme="minorBidi" w:hAnsiTheme="minorBidi" w:cstheme="minorBidi"/>
          <w:color w:val="1F4E79" w:themeColor="accent1" w:themeShade="80"/>
          <w:sz w:val="32"/>
          <w:szCs w:val="32"/>
        </w:rPr>
      </w:pPr>
      <w:bookmarkStart w:id="2" w:name="1"/>
      <w:r w:rsidRPr="009B571A">
        <w:rPr>
          <w:rFonts w:asciiTheme="minorBidi" w:hAnsiTheme="minorBidi" w:cstheme="minorBidi"/>
          <w:color w:val="1F4E79" w:themeColor="accent1" w:themeShade="80"/>
          <w:sz w:val="32"/>
          <w:szCs w:val="32"/>
          <w:rtl/>
        </w:rPr>
        <w:t>المادة 1- الغرض</w:t>
      </w:r>
      <w:r w:rsidRPr="009B571A">
        <w:rPr>
          <w:rFonts w:asciiTheme="minorBidi" w:hAnsiTheme="minorBidi" w:cstheme="minorBidi"/>
          <w:color w:val="1F4E79" w:themeColor="accent1" w:themeShade="80"/>
          <w:sz w:val="32"/>
          <w:szCs w:val="32"/>
        </w:rPr>
        <w:t xml:space="preserve"> </w:t>
      </w:r>
      <w:bookmarkEnd w:id="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الغرض من هذه الاتفاقية هو تعزيز وحماية وكفالة تمتع الأشخاص ذوي الإعاقة تمتعا كاملا على قدم المساواة مع الآخرين بجميع حقوق الإنسان والحريات الأساسية، وتعزيز احترام كرامتهم المتأصلة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ويشمل مصطلح” الأشخاص ذوي </w:t>
      </w:r>
      <w:proofErr w:type="gramStart"/>
      <w:r w:rsidR="009B571A" w:rsidRPr="00443AB2">
        <w:rPr>
          <w:rFonts w:asciiTheme="minorBidi" w:eastAsia="Times New Roman" w:hAnsiTheme="minorBidi" w:hint="cs"/>
          <w:color w:val="000000" w:themeColor="text1"/>
          <w:sz w:val="32"/>
          <w:szCs w:val="32"/>
          <w:rtl/>
        </w:rPr>
        <w:t>الإعاقة“</w:t>
      </w:r>
      <w:r w:rsidR="009B571A">
        <w:rPr>
          <w:rFonts w:asciiTheme="minorBidi" w:eastAsia="Times New Roman" w:hAnsiTheme="minorBidi"/>
          <w:color w:val="000000" w:themeColor="text1"/>
          <w:sz w:val="32"/>
          <w:szCs w:val="32"/>
        </w:rPr>
        <w:t xml:space="preserve"> </w:t>
      </w:r>
      <w:r w:rsidR="009B571A" w:rsidRPr="00443AB2">
        <w:rPr>
          <w:rFonts w:asciiTheme="minorBidi" w:eastAsia="Times New Roman" w:hAnsiTheme="minorBidi" w:hint="cs"/>
          <w:color w:val="000000" w:themeColor="text1"/>
          <w:sz w:val="32"/>
          <w:szCs w:val="32"/>
          <w:rtl/>
        </w:rPr>
        <w:t>كل</w:t>
      </w:r>
      <w:proofErr w:type="gramEnd"/>
      <w:r w:rsidRPr="00443AB2">
        <w:rPr>
          <w:rFonts w:asciiTheme="minorBidi" w:eastAsia="Times New Roman" w:hAnsiTheme="minorBidi"/>
          <w:color w:val="000000" w:themeColor="text1"/>
          <w:sz w:val="32"/>
          <w:szCs w:val="32"/>
          <w:rtl/>
        </w:rPr>
        <w:t xml:space="preserve"> من يعانون من عاهات طويلة الأجل بدنية أو عقلية أو ذهنية أو حسّيَة، قد تمنعهم لدى التعامل مع مختلف الحواجز من المشاركة بصورة كاملة وفعالة في المجتمع على قدم المساواة مع الآخرين</w:t>
      </w:r>
      <w:r w:rsidRPr="00443AB2">
        <w:rPr>
          <w:rFonts w:asciiTheme="minorBidi" w:eastAsia="Times New Roman" w:hAnsiTheme="minorBidi"/>
          <w:color w:val="000000" w:themeColor="text1"/>
          <w:sz w:val="32"/>
          <w:szCs w:val="32"/>
        </w:rPr>
        <w:t xml:space="preserve">. </w:t>
      </w:r>
    </w:p>
    <w:p w:rsidR="00DD2A0B" w:rsidRPr="009B571A" w:rsidRDefault="00DD2A0B" w:rsidP="0090070D">
      <w:pPr>
        <w:pStyle w:val="Heading3"/>
        <w:bidi/>
        <w:rPr>
          <w:rFonts w:asciiTheme="minorBidi" w:hAnsiTheme="minorBidi" w:cstheme="minorBidi"/>
          <w:color w:val="1F4E79" w:themeColor="accent1" w:themeShade="80"/>
          <w:sz w:val="32"/>
          <w:szCs w:val="32"/>
        </w:rPr>
      </w:pPr>
      <w:bookmarkStart w:id="3" w:name="2"/>
      <w:r w:rsidRPr="009B571A">
        <w:rPr>
          <w:rFonts w:asciiTheme="minorBidi" w:hAnsiTheme="minorBidi" w:cstheme="minorBidi"/>
          <w:color w:val="1F4E79" w:themeColor="accent1" w:themeShade="80"/>
          <w:sz w:val="32"/>
          <w:szCs w:val="32"/>
          <w:rtl/>
        </w:rPr>
        <w:t>المادة 2- التعاريف</w:t>
      </w:r>
      <w:r w:rsidRPr="009B571A">
        <w:rPr>
          <w:rFonts w:asciiTheme="minorBidi" w:hAnsiTheme="minorBidi" w:cstheme="minorBidi"/>
          <w:color w:val="1F4E79" w:themeColor="accent1" w:themeShade="80"/>
          <w:sz w:val="32"/>
          <w:szCs w:val="32"/>
        </w:rPr>
        <w:t xml:space="preserve"> </w:t>
      </w:r>
      <w:bookmarkEnd w:id="3"/>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لأغراض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Pr="00443AB2">
        <w:rPr>
          <w:rFonts w:asciiTheme="minorBidi" w:eastAsia="Times New Roman" w:hAnsiTheme="minorBidi"/>
          <w:color w:val="000000" w:themeColor="text1"/>
          <w:sz w:val="32"/>
          <w:szCs w:val="32"/>
          <w:rtl/>
        </w:rPr>
        <w:t>الاتصال</w:t>
      </w:r>
      <w:proofErr w:type="gramStart"/>
      <w:r w:rsidRPr="00443AB2">
        <w:rPr>
          <w:rFonts w:asciiTheme="minorBidi" w:eastAsia="Times New Roman" w:hAnsiTheme="minorBidi"/>
          <w:color w:val="000000" w:themeColor="text1"/>
          <w:sz w:val="32"/>
          <w:szCs w:val="32"/>
          <w:rtl/>
        </w:rPr>
        <w:t>“ يشمل</w:t>
      </w:r>
      <w:proofErr w:type="gramEnd"/>
      <w:r w:rsidRPr="00443AB2">
        <w:rPr>
          <w:rFonts w:asciiTheme="minorBidi" w:eastAsia="Times New Roman" w:hAnsiTheme="minorBidi"/>
          <w:color w:val="000000" w:themeColor="text1"/>
          <w:sz w:val="32"/>
          <w:szCs w:val="32"/>
          <w:rtl/>
        </w:rPr>
        <w:t xml:space="preserve"> اللغات وعرض النصوص، وطريقة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والاتصال عن طريق اللمس، وحروف الطباعة الكبيرة، والوسائط المتعددة الميسورة الاستعمال، فضلا عن أساليب ووسائل وأشكال الاتصال المعززة والبديلة، الخطية والسمعية، وباللغة المبسطة والقراءة بواسطة البشر، بما في ذلك تكنولوجيا المعلومات والاتصال الميسورة الاستعمال؛</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009B571A">
        <w:rPr>
          <w:rFonts w:asciiTheme="minorBidi" w:eastAsia="Times New Roman" w:hAnsiTheme="minorBidi"/>
          <w:color w:val="000000" w:themeColor="text1"/>
          <w:sz w:val="32"/>
          <w:szCs w:val="32"/>
          <w:rtl/>
        </w:rPr>
        <w:t xml:space="preserve"> اللغة</w:t>
      </w:r>
      <w:proofErr w:type="gramStart"/>
      <w:r w:rsidRPr="00443AB2">
        <w:rPr>
          <w:rFonts w:asciiTheme="minorBidi" w:eastAsia="Times New Roman" w:hAnsiTheme="minorBidi"/>
          <w:color w:val="000000" w:themeColor="text1"/>
          <w:sz w:val="32"/>
          <w:szCs w:val="32"/>
          <w:rtl/>
        </w:rPr>
        <w:t>“</w:t>
      </w:r>
      <w:r w:rsidR="009B571A">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تشمل</w:t>
      </w:r>
      <w:proofErr w:type="gramEnd"/>
      <w:r w:rsidRPr="00443AB2">
        <w:rPr>
          <w:rFonts w:asciiTheme="minorBidi" w:eastAsia="Times New Roman" w:hAnsiTheme="minorBidi"/>
          <w:color w:val="000000" w:themeColor="text1"/>
          <w:sz w:val="32"/>
          <w:szCs w:val="32"/>
          <w:rtl/>
        </w:rPr>
        <w:t xml:space="preserve"> لغة الكلام ولغة الإشارة وغيرها من أشكال اللغات غير الكلامية؛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Pr="00443AB2">
        <w:rPr>
          <w:rFonts w:asciiTheme="minorBidi" w:eastAsia="Times New Roman" w:hAnsiTheme="minorBidi"/>
          <w:color w:val="000000" w:themeColor="text1"/>
          <w:sz w:val="32"/>
          <w:szCs w:val="32"/>
          <w:rtl/>
        </w:rPr>
        <w:t xml:space="preserve"> التمييز على أساس الإعاقة “يعني أي تمييز أو استبعاد أو تقييد على أساس الإعاقة يكون غرضه أو أثره إضعاف أو إحباط الاعتراف بكافة حقوق الإنسان والحريات الأساسية أو التمتع بها أو ممارستها، على قدم المساواة مع الآخرين، في الميادين السياسية والاقتصادية أو الاجتماعية أو الثقافية أو المدنية أو أي ميدان آخر. ويشمل جميع أشكال التمييز، بما في ذلك الحرمان من ترتيبات تيسيريه معقولة؛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009B571A">
        <w:rPr>
          <w:rFonts w:asciiTheme="minorBidi" w:eastAsia="Times New Roman" w:hAnsiTheme="minorBidi"/>
          <w:color w:val="000000" w:themeColor="text1"/>
          <w:sz w:val="32"/>
          <w:szCs w:val="32"/>
          <w:rtl/>
        </w:rPr>
        <w:t xml:space="preserve">الترتيبات </w:t>
      </w:r>
      <w:proofErr w:type="spellStart"/>
      <w:r w:rsidR="009B571A">
        <w:rPr>
          <w:rFonts w:asciiTheme="minorBidi" w:eastAsia="Times New Roman" w:hAnsiTheme="minorBidi"/>
          <w:color w:val="000000" w:themeColor="text1"/>
          <w:sz w:val="32"/>
          <w:szCs w:val="32"/>
          <w:rtl/>
        </w:rPr>
        <w:t>التيسيرية</w:t>
      </w:r>
      <w:proofErr w:type="spellEnd"/>
      <w:r w:rsidR="009B571A">
        <w:rPr>
          <w:rFonts w:asciiTheme="minorBidi" w:eastAsia="Times New Roman" w:hAnsiTheme="minorBidi"/>
          <w:color w:val="000000" w:themeColor="text1"/>
          <w:sz w:val="32"/>
          <w:szCs w:val="32"/>
          <w:rtl/>
        </w:rPr>
        <w:t xml:space="preserve"> المعقولة</w:t>
      </w:r>
      <w:proofErr w:type="gramStart"/>
      <w:r w:rsidRPr="00443AB2">
        <w:rPr>
          <w:rFonts w:asciiTheme="minorBidi" w:eastAsia="Times New Roman" w:hAnsiTheme="minorBidi"/>
          <w:color w:val="000000" w:themeColor="text1"/>
          <w:sz w:val="32"/>
          <w:szCs w:val="32"/>
          <w:rtl/>
        </w:rPr>
        <w:t>“</w:t>
      </w:r>
      <w:r w:rsidR="009B571A">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تعني</w:t>
      </w:r>
      <w:proofErr w:type="gramEnd"/>
      <w:r w:rsidRPr="00443AB2">
        <w:rPr>
          <w:rFonts w:asciiTheme="minorBidi" w:eastAsia="Times New Roman" w:hAnsiTheme="minorBidi"/>
          <w:color w:val="000000" w:themeColor="text1"/>
          <w:sz w:val="32"/>
          <w:szCs w:val="32"/>
          <w:rtl/>
        </w:rPr>
        <w:t xml:space="preserve"> التعديلات والترتيبات اللازمة والمناسبة التي لا تفرض عبئا غير متناسب أو غير ضروري، والتي تكون هناك حاجة إليها في حالة محددة، لكفالة تمتع الأشخاص ذوي الإعاقة على أساس المساواة مع الآخرين بجميع حقوق الإنسان والحريات الأساسية وممارستها؛</w:t>
      </w:r>
      <w:r w:rsidRPr="00443AB2">
        <w:rPr>
          <w:rFonts w:asciiTheme="minorBidi" w:eastAsia="Times New Roman" w:hAnsiTheme="minorBidi"/>
          <w:color w:val="000000" w:themeColor="text1"/>
          <w:sz w:val="32"/>
          <w:szCs w:val="32"/>
        </w:rPr>
        <w:t xml:space="preserve"> </w:t>
      </w:r>
    </w:p>
    <w:p w:rsidR="00C403F2" w:rsidRDefault="00DD2A0B" w:rsidP="0090070D">
      <w:pPr>
        <w:bidi/>
        <w:spacing w:after="0" w:line="360" w:lineRule="auto"/>
        <w:rPr>
          <w:rFonts w:asciiTheme="minorBidi" w:eastAsia="Times New Roman" w:hAnsiTheme="minorBidi"/>
          <w:color w:val="000000" w:themeColor="text1"/>
          <w:sz w:val="32"/>
          <w:szCs w:val="32"/>
          <w:rtl/>
        </w:rPr>
      </w:pPr>
      <w:r w:rsidRPr="00443AB2">
        <w:rPr>
          <w:rFonts w:asciiTheme="minorBidi" w:eastAsia="Times New Roman" w:hAnsiTheme="minorBidi"/>
          <w:color w:val="000000" w:themeColor="text1"/>
          <w:sz w:val="32"/>
          <w:szCs w:val="32"/>
        </w:rPr>
        <w:t>”</w:t>
      </w:r>
      <w:r w:rsidRPr="00443AB2">
        <w:rPr>
          <w:rFonts w:asciiTheme="minorBidi" w:eastAsia="Times New Roman" w:hAnsiTheme="minorBidi"/>
          <w:color w:val="000000" w:themeColor="text1"/>
          <w:sz w:val="32"/>
          <w:szCs w:val="32"/>
          <w:rtl/>
        </w:rPr>
        <w:t xml:space="preserve">التصميم </w:t>
      </w:r>
      <w:r w:rsidR="009B571A">
        <w:rPr>
          <w:rFonts w:asciiTheme="minorBidi" w:eastAsia="Times New Roman" w:hAnsiTheme="minorBidi" w:hint="cs"/>
          <w:color w:val="000000" w:themeColor="text1"/>
          <w:sz w:val="32"/>
          <w:szCs w:val="32"/>
          <w:rtl/>
          <w:lang w:bidi="ar-QA"/>
        </w:rPr>
        <w:t>الشامل</w:t>
      </w:r>
      <w:proofErr w:type="gramStart"/>
      <w:r w:rsidRPr="00443AB2">
        <w:rPr>
          <w:rFonts w:asciiTheme="minorBidi" w:eastAsia="Times New Roman" w:hAnsiTheme="minorBidi"/>
          <w:color w:val="000000" w:themeColor="text1"/>
          <w:sz w:val="32"/>
          <w:szCs w:val="32"/>
          <w:rtl/>
        </w:rPr>
        <w:t>“ يعني</w:t>
      </w:r>
      <w:proofErr w:type="gramEnd"/>
      <w:r w:rsidRPr="00443AB2">
        <w:rPr>
          <w:rFonts w:asciiTheme="minorBidi" w:eastAsia="Times New Roman" w:hAnsiTheme="minorBidi"/>
          <w:color w:val="000000" w:themeColor="text1"/>
          <w:sz w:val="32"/>
          <w:szCs w:val="32"/>
          <w:rtl/>
        </w:rPr>
        <w:t xml:space="preserve"> تصميم المنتجات والبيئات والبرامج والخدمات لكي يستعملها جميع الناس، بأكبر قدر ممكن، دون حاجة إلى تكييف أو تصميم متخصص. ولا يستبعد” التصميم </w:t>
      </w:r>
      <w:proofErr w:type="gramStart"/>
      <w:r w:rsidR="009B571A" w:rsidRPr="00443AB2">
        <w:rPr>
          <w:rFonts w:asciiTheme="minorBidi" w:eastAsia="Times New Roman" w:hAnsiTheme="minorBidi" w:hint="cs"/>
          <w:color w:val="000000" w:themeColor="text1"/>
          <w:sz w:val="32"/>
          <w:szCs w:val="32"/>
          <w:rtl/>
        </w:rPr>
        <w:t>العام“</w:t>
      </w:r>
      <w:r w:rsidR="009B571A">
        <w:rPr>
          <w:rFonts w:asciiTheme="minorBidi" w:eastAsia="Times New Roman" w:hAnsiTheme="minorBidi" w:hint="cs"/>
          <w:color w:val="000000" w:themeColor="text1"/>
          <w:sz w:val="32"/>
          <w:szCs w:val="32"/>
          <w:rtl/>
        </w:rPr>
        <w:t xml:space="preserve"> </w:t>
      </w:r>
      <w:r w:rsidR="009B571A" w:rsidRPr="00443AB2">
        <w:rPr>
          <w:rFonts w:asciiTheme="minorBidi" w:eastAsia="Times New Roman" w:hAnsiTheme="minorBidi" w:hint="cs"/>
          <w:color w:val="000000" w:themeColor="text1"/>
          <w:sz w:val="32"/>
          <w:szCs w:val="32"/>
          <w:rtl/>
        </w:rPr>
        <w:t>الأجهزة</w:t>
      </w:r>
      <w:proofErr w:type="gramEnd"/>
      <w:r w:rsidRPr="00443AB2">
        <w:rPr>
          <w:rFonts w:asciiTheme="minorBidi" w:eastAsia="Times New Roman" w:hAnsiTheme="minorBidi"/>
          <w:color w:val="000000" w:themeColor="text1"/>
          <w:sz w:val="32"/>
          <w:szCs w:val="32"/>
          <w:rtl/>
        </w:rPr>
        <w:t xml:space="preserve"> المُعِينة لفئات معينة من الأشخاص ذوي ال</w:t>
      </w:r>
      <w:r w:rsidR="00C403F2">
        <w:rPr>
          <w:rFonts w:asciiTheme="minorBidi" w:eastAsia="Times New Roman" w:hAnsiTheme="minorBidi"/>
          <w:color w:val="000000" w:themeColor="text1"/>
          <w:sz w:val="32"/>
          <w:szCs w:val="32"/>
          <w:rtl/>
        </w:rPr>
        <w:t>إعاقة حيثما تكون هناك حاجة إليه</w:t>
      </w:r>
      <w:r w:rsidR="00C403F2">
        <w:rPr>
          <w:rFonts w:asciiTheme="minorBidi" w:eastAsia="Times New Roman" w:hAnsiTheme="minorBidi" w:hint="cs"/>
          <w:color w:val="000000" w:themeColor="text1"/>
          <w:sz w:val="32"/>
          <w:szCs w:val="32"/>
          <w:rtl/>
        </w:rPr>
        <w:t>ا.</w:t>
      </w:r>
    </w:p>
    <w:p w:rsidR="00C403F2" w:rsidRDefault="00C403F2" w:rsidP="0090070D">
      <w:pPr>
        <w:bidi/>
        <w:rPr>
          <w:rtl/>
        </w:rPr>
      </w:pPr>
      <w:r>
        <w:rPr>
          <w:rtl/>
        </w:rPr>
        <w:br w:type="page"/>
      </w:r>
    </w:p>
    <w:p w:rsidR="00DD2A0B" w:rsidRPr="00C403F2" w:rsidRDefault="00DD2A0B" w:rsidP="0090070D">
      <w:pPr>
        <w:pStyle w:val="Heading3"/>
        <w:bidi/>
        <w:rPr>
          <w:rFonts w:asciiTheme="minorBidi" w:hAnsiTheme="minorBidi" w:cstheme="minorBidi"/>
          <w:color w:val="1F4E79" w:themeColor="accent1" w:themeShade="80"/>
          <w:sz w:val="32"/>
          <w:szCs w:val="32"/>
        </w:rPr>
      </w:pPr>
      <w:bookmarkStart w:id="4" w:name="3"/>
      <w:r w:rsidRPr="00C403F2">
        <w:rPr>
          <w:rFonts w:asciiTheme="minorBidi" w:hAnsiTheme="minorBidi" w:cstheme="minorBidi"/>
          <w:color w:val="1F4E79" w:themeColor="accent1" w:themeShade="80"/>
          <w:sz w:val="32"/>
          <w:szCs w:val="32"/>
          <w:rtl/>
        </w:rPr>
        <w:t>المادة 3- مبادئ عامة</w:t>
      </w:r>
      <w:r w:rsidRPr="00C403F2">
        <w:rPr>
          <w:rFonts w:asciiTheme="minorBidi" w:hAnsiTheme="minorBidi" w:cstheme="minorBidi"/>
          <w:color w:val="1F4E79" w:themeColor="accent1" w:themeShade="80"/>
          <w:sz w:val="32"/>
          <w:szCs w:val="32"/>
        </w:rPr>
        <w:t xml:space="preserve"> </w:t>
      </w:r>
      <w:bookmarkEnd w:id="4"/>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فيما يلي مبادئ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احترام كرامة الأشخاص المتأصلة واستقلالهم الذاتي بما في ذلك حرية تقرير خياراتهم بأنفسهم واستقلاليتهم؛</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التمييز؛</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مشاركة وإشراك الأشخاص ذوي الإعاقة بصورة كاملة وفعالة في المجتمع؛</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احترام الفوارق وقبول الأشخاص ذوي الإعاقة كجزء من التنوع البشري والطبيعة البشرية؛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تكافؤ الفرص؛</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إمكانية الوصول؛</w:t>
      </w:r>
      <w:r w:rsidRPr="00443AB2">
        <w:rPr>
          <w:rFonts w:asciiTheme="minorBidi" w:eastAsia="Times New Roman" w:hAnsiTheme="minorBidi"/>
          <w:color w:val="000000" w:themeColor="text1"/>
          <w:sz w:val="32"/>
          <w:szCs w:val="32"/>
        </w:rPr>
        <w:t xml:space="preserve"> </w:t>
      </w:r>
    </w:p>
    <w:p w:rsidR="00C403F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المساواة بين الرجل والمرأة؛</w:t>
      </w:r>
    </w:p>
    <w:p w:rsidR="00DD2A0B" w:rsidRPr="00C403F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احترام القدرات المتطورة للأطفال ذوي الإعاقة واحترام حقهم في الحفاظ على هويتهم</w:t>
      </w:r>
      <w:r w:rsidRPr="00C403F2">
        <w:rPr>
          <w:rFonts w:asciiTheme="minorBidi" w:eastAsia="Times New Roman" w:hAnsiTheme="minorBidi"/>
          <w:color w:val="000000" w:themeColor="text1"/>
          <w:sz w:val="32"/>
          <w:szCs w:val="32"/>
        </w:rPr>
        <w:t>.</w:t>
      </w:r>
    </w:p>
    <w:p w:rsidR="00DD2A0B" w:rsidRPr="00C403F2" w:rsidRDefault="00DD2A0B" w:rsidP="0090070D">
      <w:pPr>
        <w:pStyle w:val="Heading3"/>
        <w:bidi/>
        <w:rPr>
          <w:rFonts w:asciiTheme="minorBidi" w:hAnsiTheme="minorBidi" w:cstheme="minorBidi"/>
          <w:color w:val="1F4E79" w:themeColor="accent1" w:themeShade="80"/>
          <w:sz w:val="32"/>
          <w:szCs w:val="32"/>
        </w:rPr>
      </w:pPr>
      <w:bookmarkStart w:id="5" w:name="4"/>
      <w:r w:rsidRPr="00C403F2">
        <w:rPr>
          <w:rFonts w:asciiTheme="minorBidi" w:hAnsiTheme="minorBidi" w:cstheme="minorBidi"/>
          <w:color w:val="1F4E79" w:themeColor="accent1" w:themeShade="80"/>
          <w:sz w:val="32"/>
          <w:szCs w:val="32"/>
          <w:rtl/>
        </w:rPr>
        <w:t>المادة 4- الالتزامات العامة</w:t>
      </w:r>
      <w:r w:rsidRPr="00C403F2">
        <w:rPr>
          <w:rFonts w:asciiTheme="minorBidi" w:hAnsiTheme="minorBidi" w:cstheme="minorBidi"/>
          <w:color w:val="1F4E79" w:themeColor="accent1" w:themeShade="80"/>
          <w:sz w:val="32"/>
          <w:szCs w:val="32"/>
        </w:rPr>
        <w:t xml:space="preserve"> </w:t>
      </w:r>
      <w:bookmarkEnd w:id="5"/>
    </w:p>
    <w:p w:rsidR="00DD2A0B" w:rsidRPr="00C403F2"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تتعهد الدول الأطراف بكفالة وتعزيز إعمال كافة حقوق الإنسان والحريات الأساسية إعمالا تاما لجميع الأشخاص ذوي الإعاقة دون أي تمييز من أي نوع على أساس الإعاقة. وتحقيقا لهذه الغاية، تتعهد الدول الأطراف بما يلي</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اتخاذ جميع التدابير الملائمة، التشريعية والإدارية وغيرها من التدابير، لإنفاذ الحقوق المعترف بها في هذه الاتفاقية؛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اتخاذ جميع التدابير الملائمة، بما فيها التشريع، لتعديل أو إلغاء ما يوجد من قوانين ولوائح وأعراف وممارسات تشكل تمييزا ضد الأشخاص ذوي الإعاقة؛</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والبرامج؛ السياسات جميع</w:t>
      </w:r>
      <w:r w:rsidRPr="00C403F2">
        <w:rPr>
          <w:rFonts w:asciiTheme="minorBidi" w:eastAsia="Times New Roman" w:hAnsiTheme="minorBidi"/>
          <w:color w:val="000000" w:themeColor="text1"/>
          <w:sz w:val="32"/>
          <w:szCs w:val="32"/>
        </w:rPr>
        <w:t xml:space="preserve"> </w:t>
      </w:r>
      <w:r w:rsidRPr="00C403F2">
        <w:rPr>
          <w:rFonts w:asciiTheme="minorBidi" w:eastAsia="Times New Roman" w:hAnsiTheme="minorBidi"/>
          <w:color w:val="000000" w:themeColor="text1"/>
          <w:sz w:val="32"/>
          <w:szCs w:val="32"/>
          <w:rtl/>
        </w:rPr>
        <w:t xml:space="preserve">في الإعاقة ذوي للأشخاص الإنسان حقوق </w:t>
      </w:r>
      <w:r w:rsidR="00C403F2">
        <w:rPr>
          <w:rFonts w:asciiTheme="minorBidi" w:eastAsia="Times New Roman" w:hAnsiTheme="minorBidi"/>
          <w:color w:val="000000" w:themeColor="text1"/>
          <w:sz w:val="32"/>
          <w:szCs w:val="32"/>
          <w:rtl/>
        </w:rPr>
        <w:t>وتعزيز حماية مراعاة</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الامتناع عن القيام بأي عمل أو ممارسة تتعارض وهذه الاتفاقية وكفالة تصرف السلطات والمؤسسات العامة بما يتفق معها؛</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اتخاذ كافة التدابير المناسبة للقضاء على التمييز على أساس الإعاقة من جانب أي شخص أو منظمة أو مؤسسة خاصة؛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إجراء أو تعزيز البحوث والتطوير للسلع والخدمات والمعدات والمرافق المصممة تصميما عاما، كما تحددها المادة 2 من هذه الاتفاقية، والتي يفترض أن تحتاج إلى أدنى حد ممكن من المواءمة وإلى أقل التكاليف لتلبية الاحتياجات المحددة للأشخاص ذوي الإعاقة، وتشجيع توفيرها واستعمالها، وتعزيز التصميم العام لدى وضع المعايير والمبادئ التوجيهية؛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إجراء أو تعزيز البحوث والتطوير للتكنولوجيات الجديدة، وتعزيز توفيرها واستعمالها، بما في ذلك تكنولوجيات المعلومات والاتصال، والوسائل والأجهزة المساعدة على التنقل، والتكنولوجيات المُعِينة الملائمة للأشخاص ذوي الإعاقة، مع إيلاء الأولوية للتكنولوجيات المتاحة بأسعار معقولة؛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توفير معلومات سهلة المنال للأشخاص ذوي الإعاقة بشأن الوسائل والأجهزة المساعدة على التنقل، والتكنولوجيات المُعِينة، بما في ذلك التكنولوجيات الجديدة، فضلا عن أشكال المساعدة الأخرى، وخدمات ومرافق الدعم؛</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تشجيع تدريب الأخصائيين والموظفين العاملين مع الأشخاص ذوي الإعاقة في مجال الحقوق المعترف بها في هذه الاتفاقية لتحسين توفير المساعدة والخدمات التي تكفلها تلك الحقوق</w:t>
      </w:r>
      <w:r w:rsidRPr="00C403F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فيما يتعلق بالحقوق الاقتصادية والاجتماعية والثقافية، تتعهد كل دولة من الدول الأطراف باتخاذ التدابير اللازمة بأقصى ما </w:t>
      </w:r>
      <w:proofErr w:type="spellStart"/>
      <w:r w:rsidRPr="00443AB2">
        <w:rPr>
          <w:rFonts w:asciiTheme="minorBidi" w:eastAsia="Times New Roman" w:hAnsiTheme="minorBidi"/>
          <w:color w:val="000000" w:themeColor="text1"/>
          <w:sz w:val="32"/>
          <w:szCs w:val="32"/>
          <w:rtl/>
        </w:rPr>
        <w:t>تتيحه</w:t>
      </w:r>
      <w:proofErr w:type="spellEnd"/>
      <w:r w:rsidRPr="00443AB2">
        <w:rPr>
          <w:rFonts w:asciiTheme="minorBidi" w:eastAsia="Times New Roman" w:hAnsiTheme="minorBidi"/>
          <w:color w:val="000000" w:themeColor="text1"/>
          <w:sz w:val="32"/>
          <w:szCs w:val="32"/>
          <w:rtl/>
        </w:rPr>
        <w:t xml:space="preserve"> الموارد المتوافرة لديها، وحيثما يلزم، في إطــار التعاون الدولي، للتوصل تدريجيا إلى إعمال هذه الحقوق إعمالا تاما، دون الإخلال بالالتزامات الواردة في هذه الاتفاقية والواجبة التطبيق فورا، وفقا للقانون الدولي</w:t>
      </w:r>
      <w:r w:rsidRPr="00443AB2">
        <w:rPr>
          <w:rFonts w:asciiTheme="minorBidi" w:eastAsia="Times New Roman" w:hAnsiTheme="minorBidi"/>
          <w:color w:val="000000" w:themeColor="text1"/>
          <w:sz w:val="32"/>
          <w:szCs w:val="32"/>
        </w:rPr>
        <w:t xml:space="preserve">. </w:t>
      </w:r>
    </w:p>
    <w:p w:rsidR="00AB3D29"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تتشاور الدول الأطراف تشاوراً وثيقا مع الأشخاص ذوي الإعاقة بمن فيهم الأطفال ذوو الإعاقة، من خلال المنظمات التي تمثلهم، بشأن وضع وتنفيذ التشريعات والسياسات الرامية إلى تنفيذ هذه الاتفاقية، وفي عمليات صنع القرار الأخرى بشأن المسائل التي تتعلق بالأشخاص ذوي الإعاقة، وإشراكهم فعليا في ذلك</w:t>
      </w:r>
      <w:r w:rsidRPr="00443AB2">
        <w:rPr>
          <w:rFonts w:asciiTheme="minorBidi" w:eastAsia="Times New Roman" w:hAnsiTheme="minorBidi"/>
          <w:color w:val="000000" w:themeColor="text1"/>
          <w:sz w:val="32"/>
          <w:szCs w:val="32"/>
        </w:rPr>
        <w:t xml:space="preserve">. </w:t>
      </w:r>
    </w:p>
    <w:p w:rsidR="00DD2A0B" w:rsidRPr="00AB3D29"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ليس في هذه الاتفاقية ما يمس أي حكم يتيح على نحو أوفى إعمال حقوق الأشخاص ذوي الإعاقة قد يرد في قانون دولة طرف أو في القانون الدولي المعمول به في تلك الدولة. ولا يجوز فرض أي تقييد أو انتقاص لأي حق من حقوق الإنسان والحريات الأساسية المعترف بها أو القائمة في أي دولة طرف في هذه الاتفاقية، عملا بقانون أو اتفاقية أو لائحة أو عرف بحجة أن هذه الاتفاقية لا تعترف بهذه الحقوق والحريات أو تعترف بها في نطاق أضيق</w:t>
      </w:r>
      <w:r w:rsidRPr="00AB3D29">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يمتد سريان أحكام هذه الاتفاقية إلى جميع أجزاء الدول الاتحادية دون أي قيود أو استثناءات</w:t>
      </w:r>
      <w:r w:rsidRPr="00443AB2">
        <w:rPr>
          <w:rFonts w:asciiTheme="minorBidi" w:eastAsia="Times New Roman" w:hAnsiTheme="minorBidi"/>
          <w:color w:val="000000" w:themeColor="text1"/>
          <w:sz w:val="32"/>
          <w:szCs w:val="32"/>
        </w:rPr>
        <w:t xml:space="preserve">. </w:t>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6" w:name="5"/>
      <w:r w:rsidRPr="00AB3D29">
        <w:rPr>
          <w:rFonts w:asciiTheme="minorBidi" w:hAnsiTheme="minorBidi" w:cstheme="minorBidi"/>
          <w:color w:val="1F4E79" w:themeColor="accent1" w:themeShade="80"/>
          <w:sz w:val="32"/>
          <w:szCs w:val="32"/>
          <w:rtl/>
        </w:rPr>
        <w:t>المادة 5- المساواة وعدم التمييز</w:t>
      </w:r>
      <w:r w:rsidRPr="00AB3D29">
        <w:rPr>
          <w:rFonts w:asciiTheme="minorBidi" w:hAnsiTheme="minorBidi" w:cstheme="minorBidi"/>
          <w:color w:val="1F4E79" w:themeColor="accent1" w:themeShade="80"/>
          <w:sz w:val="32"/>
          <w:szCs w:val="32"/>
        </w:rPr>
        <w:t xml:space="preserve"> </w:t>
      </w:r>
      <w:bookmarkEnd w:id="6"/>
    </w:p>
    <w:p w:rsidR="00DD2A0B" w:rsidRPr="00443AB2"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بأن جميع الأشخاص متساوون أمام القانون وبمقتضاه ولهم الحق دون أي تمييز وعلى قدم المساواة في الحماية والفائدة اللتين يوفرهما القانون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تحظر الدول الأطراف أي تمييز على أساس الإعاقة وتكفل للأشخاص ذوي الإعاقة الحماية المتساوية والفعالة من التمييز على أي أساس</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تتخذ الدول الأطراف، سعياً لتعزيز المساواة والقضاء على التمييز، جميع الخطوات المناسبة لكفالة توافر الترتيبات </w:t>
      </w:r>
      <w:proofErr w:type="spellStart"/>
      <w:r w:rsidRPr="00443AB2">
        <w:rPr>
          <w:rFonts w:asciiTheme="minorBidi" w:eastAsia="Times New Roman" w:hAnsiTheme="minorBidi"/>
          <w:color w:val="000000" w:themeColor="text1"/>
          <w:sz w:val="32"/>
          <w:szCs w:val="32"/>
          <w:rtl/>
        </w:rPr>
        <w:t>التيسيرية</w:t>
      </w:r>
      <w:proofErr w:type="spellEnd"/>
      <w:r w:rsidRPr="00443AB2">
        <w:rPr>
          <w:rFonts w:asciiTheme="minorBidi" w:eastAsia="Times New Roman" w:hAnsiTheme="minorBidi"/>
          <w:color w:val="000000" w:themeColor="text1"/>
          <w:sz w:val="32"/>
          <w:szCs w:val="32"/>
          <w:rtl/>
        </w:rPr>
        <w:t xml:space="preserve"> المعقولة للأشخاص ذوي الإعاقة</w:t>
      </w:r>
      <w:r w:rsidRPr="00443AB2">
        <w:rPr>
          <w:rFonts w:asciiTheme="minorBidi" w:eastAsia="Times New Roman" w:hAnsiTheme="minorBidi"/>
          <w:color w:val="000000" w:themeColor="text1"/>
          <w:sz w:val="32"/>
          <w:szCs w:val="32"/>
        </w:rPr>
        <w:t xml:space="preserve">. </w:t>
      </w:r>
    </w:p>
    <w:p w:rsidR="00AB3D29"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تعتبر التدابير المحددة الضرورية للتعجيل بالمساواة الفعلية للأشخاص ذوي الإعاقة أو تحقيقها تمييزا بمقتضى أحكام هذه الاتفاقية</w:t>
      </w:r>
      <w:r w:rsidRPr="00443AB2">
        <w:rPr>
          <w:rFonts w:asciiTheme="minorBidi" w:eastAsia="Times New Roman" w:hAnsiTheme="minorBidi"/>
          <w:color w:val="000000" w:themeColor="text1"/>
          <w:sz w:val="32"/>
          <w:szCs w:val="32"/>
        </w:rPr>
        <w:t>.</w:t>
      </w:r>
    </w:p>
    <w:p w:rsidR="00AB3D29" w:rsidRDefault="00AB3D29" w:rsidP="0090070D">
      <w:pPr>
        <w:bidi/>
      </w:pPr>
      <w:r>
        <w:br w:type="page"/>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7" w:name="6"/>
      <w:r w:rsidRPr="00AB3D29">
        <w:rPr>
          <w:rFonts w:asciiTheme="minorBidi" w:hAnsiTheme="minorBidi" w:cstheme="minorBidi"/>
          <w:color w:val="1F4E79" w:themeColor="accent1" w:themeShade="80"/>
          <w:sz w:val="32"/>
          <w:szCs w:val="32"/>
          <w:rtl/>
        </w:rPr>
        <w:t>المادة 6- لنساء ذوات الإعاقة</w:t>
      </w:r>
      <w:bookmarkEnd w:id="7"/>
      <w:r w:rsidRPr="00AB3D29">
        <w:rPr>
          <w:rFonts w:asciiTheme="minorBidi" w:hAnsiTheme="minorBidi" w:cstheme="minorBidi"/>
          <w:color w:val="1F4E79" w:themeColor="accent1" w:themeShade="80"/>
          <w:sz w:val="32"/>
          <w:szCs w:val="32"/>
        </w:rPr>
        <w:t xml:space="preserve"> </w:t>
      </w:r>
    </w:p>
    <w:p w:rsidR="00AB3D29" w:rsidRDefault="00DD2A0B" w:rsidP="006C40F4">
      <w:pPr>
        <w:pStyle w:val="ListParagraph"/>
        <w:numPr>
          <w:ilvl w:val="0"/>
          <w:numId w:val="6"/>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بأن النساء والفتيات ذوات الإعاقة يتعرضن لأشكال متعددة من التمييز، وأنها ستتخذ في هذا الصدد التدابير اللازمة لضمان تمتــعهن تمتعا كاملا وعلى قدم المساواة بجميع حقوق الإنسان والحريات الأساسية</w:t>
      </w:r>
      <w:r w:rsidRPr="00443AB2">
        <w:rPr>
          <w:rFonts w:asciiTheme="minorBidi" w:eastAsia="Times New Roman" w:hAnsiTheme="minorBidi"/>
          <w:color w:val="000000" w:themeColor="text1"/>
          <w:sz w:val="32"/>
          <w:szCs w:val="32"/>
        </w:rPr>
        <w:t xml:space="preserve">. </w:t>
      </w:r>
    </w:p>
    <w:p w:rsidR="00DD2A0B" w:rsidRPr="00AB3D29" w:rsidRDefault="00DD2A0B" w:rsidP="006C40F4">
      <w:pPr>
        <w:pStyle w:val="ListParagraph"/>
        <w:numPr>
          <w:ilvl w:val="0"/>
          <w:numId w:val="6"/>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تتخذ الدول الأطراف جميع التدابير الملائمة لكفالة التطور الكامل والتقدم والتمكين للمرأة، بغرض ضمان ممارستها حقوق الإنسان والحريات الأساسية المبينة في هذه الاتفاقية والتمتع بها</w:t>
      </w:r>
      <w:r w:rsidRPr="00AB3D29">
        <w:rPr>
          <w:rFonts w:asciiTheme="minorBidi" w:eastAsia="Times New Roman" w:hAnsiTheme="minorBidi"/>
          <w:color w:val="000000" w:themeColor="text1"/>
          <w:sz w:val="32"/>
          <w:szCs w:val="32"/>
        </w:rPr>
        <w:t xml:space="preserve">. </w:t>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8" w:name="7"/>
      <w:r w:rsidRPr="00AB3D29">
        <w:rPr>
          <w:rFonts w:asciiTheme="minorBidi" w:hAnsiTheme="minorBidi" w:cstheme="minorBidi"/>
          <w:color w:val="1F4E79" w:themeColor="accent1" w:themeShade="80"/>
          <w:sz w:val="32"/>
          <w:szCs w:val="32"/>
          <w:rtl/>
        </w:rPr>
        <w:t>المادة 7- الأطفال ذوو الإعاقة</w:t>
      </w:r>
      <w:r w:rsidRPr="00AB3D29">
        <w:rPr>
          <w:rFonts w:asciiTheme="minorBidi" w:hAnsiTheme="minorBidi" w:cstheme="minorBidi"/>
          <w:color w:val="1F4E79" w:themeColor="accent1" w:themeShade="80"/>
          <w:sz w:val="32"/>
          <w:szCs w:val="32"/>
        </w:rPr>
        <w:t xml:space="preserve"> </w:t>
      </w:r>
      <w:bookmarkEnd w:id="8"/>
    </w:p>
    <w:p w:rsidR="00AB3D29" w:rsidRDefault="00DD2A0B" w:rsidP="006C40F4">
      <w:pPr>
        <w:pStyle w:val="ListParagraph"/>
        <w:numPr>
          <w:ilvl w:val="0"/>
          <w:numId w:val="7"/>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تتخذ الدول الأطراف جميع التدابير الضرورية لكفالة تمتع الأطفال ذوي الإعاقة تمتعا كاملا بجميع حقوق الإنسان والحريات الأساسية، وذلك على </w:t>
      </w:r>
      <w:r w:rsidR="00BE49C7">
        <w:rPr>
          <w:rFonts w:asciiTheme="minorBidi" w:eastAsia="Times New Roman" w:hAnsiTheme="minorBidi"/>
          <w:color w:val="000000" w:themeColor="text1"/>
          <w:sz w:val="32"/>
          <w:szCs w:val="32"/>
          <w:rtl/>
        </w:rPr>
        <w:t xml:space="preserve">قدم المساواة مع غيرهم من </w:t>
      </w:r>
      <w:proofErr w:type="spellStart"/>
      <w:r w:rsidR="00BE49C7">
        <w:rPr>
          <w:rFonts w:asciiTheme="minorBidi" w:eastAsia="Times New Roman" w:hAnsiTheme="minorBidi"/>
          <w:color w:val="000000" w:themeColor="text1"/>
          <w:sz w:val="32"/>
          <w:szCs w:val="32"/>
          <w:rtl/>
        </w:rPr>
        <w:t>الأطفا</w:t>
      </w:r>
      <w:proofErr w:type="spellEnd"/>
      <w:r w:rsidR="00BE49C7">
        <w:rPr>
          <w:rFonts w:asciiTheme="minorBidi" w:eastAsia="Times New Roman" w:hAnsiTheme="minorBidi" w:hint="cs"/>
          <w:color w:val="000000" w:themeColor="text1"/>
          <w:sz w:val="32"/>
          <w:szCs w:val="32"/>
          <w:rtl/>
          <w:lang w:bidi="ar-QA"/>
        </w:rPr>
        <w:t>ل.</w:t>
      </w:r>
      <w:r w:rsidRPr="00443AB2">
        <w:rPr>
          <w:rFonts w:asciiTheme="minorBidi" w:eastAsia="Times New Roman" w:hAnsiTheme="minorBidi"/>
          <w:color w:val="000000" w:themeColor="text1"/>
          <w:sz w:val="32"/>
          <w:szCs w:val="32"/>
        </w:rPr>
        <w:t xml:space="preserve"> </w:t>
      </w:r>
    </w:p>
    <w:p w:rsidR="00AB3D29" w:rsidRDefault="00DD2A0B" w:rsidP="006C40F4">
      <w:pPr>
        <w:pStyle w:val="ListParagraph"/>
        <w:numPr>
          <w:ilvl w:val="0"/>
          <w:numId w:val="7"/>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يكون توخي أفضل مصلحة للطفل، في جميع التدابير المتعلقة بالأطفال ذوي الإعاقة، اعتبارا أساسيا</w:t>
      </w:r>
      <w:r w:rsidRPr="00AB3D29">
        <w:rPr>
          <w:rFonts w:asciiTheme="minorBidi" w:eastAsia="Times New Roman" w:hAnsiTheme="minorBidi"/>
          <w:color w:val="000000" w:themeColor="text1"/>
          <w:sz w:val="32"/>
          <w:szCs w:val="32"/>
        </w:rPr>
        <w:t xml:space="preserve">. </w:t>
      </w:r>
    </w:p>
    <w:p w:rsidR="00DD2A0B" w:rsidRPr="00AB3D29" w:rsidRDefault="00DD2A0B" w:rsidP="006C40F4">
      <w:pPr>
        <w:pStyle w:val="ListParagraph"/>
        <w:numPr>
          <w:ilvl w:val="0"/>
          <w:numId w:val="7"/>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تكفل الدول الأطراف تمتع الأطفال ذوي الإعاقة بالحق في التعبير بحرية عن آرائهم في جميع المسائل التي تمسهم مع إيلاء الاهتمام الواجب لآرائهم هذه وفقا لسنهم ومدى نضجهم، وذلك على أساس المساواة مع غيرهم من الأطفال وتوفير المساعدة على ممارسة ذلك الحق، بما يتناسب مع إعاقتهم وسنهم</w:t>
      </w:r>
      <w:r w:rsidRPr="00AB3D29">
        <w:rPr>
          <w:rFonts w:asciiTheme="minorBidi" w:eastAsia="Times New Roman" w:hAnsiTheme="minorBidi"/>
          <w:color w:val="000000" w:themeColor="text1"/>
          <w:sz w:val="32"/>
          <w:szCs w:val="32"/>
        </w:rPr>
        <w:t xml:space="preserve">. </w:t>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9" w:name="8"/>
      <w:r w:rsidRPr="00AB3D29">
        <w:rPr>
          <w:rFonts w:asciiTheme="minorBidi" w:hAnsiTheme="minorBidi" w:cstheme="minorBidi"/>
          <w:color w:val="1F4E79" w:themeColor="accent1" w:themeShade="80"/>
          <w:sz w:val="32"/>
          <w:szCs w:val="32"/>
          <w:rtl/>
        </w:rPr>
        <w:t>المادة 8- إذكاء الوعي</w:t>
      </w:r>
      <w:r w:rsidRPr="00AB3D29">
        <w:rPr>
          <w:rFonts w:asciiTheme="minorBidi" w:hAnsiTheme="minorBidi" w:cstheme="minorBidi"/>
          <w:color w:val="1F4E79" w:themeColor="accent1" w:themeShade="80"/>
          <w:sz w:val="32"/>
          <w:szCs w:val="32"/>
        </w:rPr>
        <w:t xml:space="preserve"> </w:t>
      </w:r>
      <w:bookmarkEnd w:id="9"/>
    </w:p>
    <w:p w:rsidR="00DD2A0B" w:rsidRPr="00AB3D29" w:rsidRDefault="00DD2A0B" w:rsidP="006C40F4">
      <w:pPr>
        <w:pStyle w:val="ListParagraph"/>
        <w:numPr>
          <w:ilvl w:val="0"/>
          <w:numId w:val="8"/>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تتعهد الدول الأطراف باعتماد تدابير فورية وفعالة وملائمة من أجل</w:t>
      </w:r>
      <w:r w:rsidRPr="00AB3D29">
        <w:rPr>
          <w:rFonts w:asciiTheme="minorBidi" w:eastAsia="Times New Roman" w:hAnsiTheme="minorBidi"/>
          <w:color w:val="000000" w:themeColor="text1"/>
          <w:sz w:val="32"/>
          <w:szCs w:val="32"/>
        </w:rPr>
        <w:t>:</w:t>
      </w:r>
    </w:p>
    <w:p w:rsidR="00D15FEB" w:rsidRDefault="00DD2A0B" w:rsidP="006C40F4">
      <w:pPr>
        <w:pStyle w:val="ListParagraph"/>
        <w:numPr>
          <w:ilvl w:val="0"/>
          <w:numId w:val="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إذكاء الوعي في المجتمع بأسره بشأن الأشخاص ذوي الإعاقة، بما في ذلك على مستوى الأسرة، وتعزيز احترام حقوق الأشخاص ذوي الإعاقة وكرامتهم؛</w:t>
      </w:r>
    </w:p>
    <w:p w:rsidR="00D15FEB" w:rsidRDefault="00DD2A0B" w:rsidP="006C40F4">
      <w:pPr>
        <w:pStyle w:val="ListParagraph"/>
        <w:numPr>
          <w:ilvl w:val="0"/>
          <w:numId w:val="9"/>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مكافحة القوالب النمطية وأشكال التحيز والممارسات الضارة المتعلقة بالأشخاص ذوي الإعاقة، بما فيها تلك القائمة على الجنس والسن، في جميع مجالات الحياة؛</w:t>
      </w:r>
    </w:p>
    <w:p w:rsidR="00DD2A0B" w:rsidRPr="00D15FEB" w:rsidRDefault="00DD2A0B" w:rsidP="006C40F4">
      <w:pPr>
        <w:pStyle w:val="ListParagraph"/>
        <w:numPr>
          <w:ilvl w:val="0"/>
          <w:numId w:val="9"/>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تعزيز الوعي بقدرات وإسهامات الأشخاص ذوي الإعاقة</w:t>
      </w:r>
      <w:r w:rsidRPr="00D15FEB">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8"/>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وتشمل التدابير الرامية إلى تحقيق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بدء ومتابعة تنظيم حملات فعالة للتوعية العامة تهدف إلى</w:t>
      </w:r>
      <w:r w:rsidRPr="00443AB2">
        <w:rPr>
          <w:rFonts w:asciiTheme="minorBidi" w:eastAsia="Times New Roman" w:hAnsiTheme="minorBidi"/>
          <w:color w:val="000000" w:themeColor="text1"/>
          <w:sz w:val="32"/>
          <w:szCs w:val="32"/>
        </w:rPr>
        <w:t>:</w:t>
      </w:r>
    </w:p>
    <w:p w:rsidR="00D15FEB" w:rsidRDefault="00DD2A0B" w:rsidP="006C40F4">
      <w:pPr>
        <w:pStyle w:val="ListParagraph"/>
        <w:numPr>
          <w:ilvl w:val="0"/>
          <w:numId w:val="11"/>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تعزيز تقبل حقوق الأشخاص ذوي الإعاقة؛</w:t>
      </w:r>
    </w:p>
    <w:p w:rsidR="00D15FEB" w:rsidRDefault="00DD2A0B" w:rsidP="006C40F4">
      <w:pPr>
        <w:pStyle w:val="ListParagraph"/>
        <w:numPr>
          <w:ilvl w:val="0"/>
          <w:numId w:val="11"/>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نشر تصورات إيجابية عن الأشخاص ذوي الإعاقة، ووعي اجتماعي أعمق بهم؛</w:t>
      </w:r>
    </w:p>
    <w:p w:rsidR="00DD2A0B" w:rsidRPr="00D15FEB" w:rsidRDefault="00DD2A0B" w:rsidP="006C40F4">
      <w:pPr>
        <w:pStyle w:val="ListParagraph"/>
        <w:numPr>
          <w:ilvl w:val="0"/>
          <w:numId w:val="11"/>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تشجيع الاعتراف بمهارات وكفاءات وقدرات الأشخاص ذوي الإعاقة، وإسهاماتهم في مكان العمل وسوق العمل؛</w:t>
      </w:r>
      <w:r w:rsidRPr="00D15FEB">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تبني موقف يتسم باحترام حقوق الأشخاص ذوي الإعاقة في جميع مستويات نظام التعليم، بما في ذلك لدى جميع الأطفال منذ حداثة سنهم؛</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جميع أجهزة وسائل الإعلام على عرض صورة للأشخاص ذوي الإعاقة تتفق والغرض من هذه الاتفاقية؛</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تنظيم برامج تدريبية للتوعية بالأشخاص ذوي الإعاقة وحقوقهم</w:t>
      </w:r>
      <w:r w:rsidRPr="00443AB2">
        <w:rPr>
          <w:rFonts w:asciiTheme="minorBidi" w:eastAsia="Times New Roman" w:hAnsiTheme="minorBidi"/>
          <w:color w:val="000000" w:themeColor="text1"/>
          <w:sz w:val="32"/>
          <w:szCs w:val="32"/>
        </w:rPr>
        <w:t>.</w:t>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0" w:name="9"/>
      <w:r w:rsidRPr="00D15FEB">
        <w:rPr>
          <w:rFonts w:asciiTheme="minorBidi" w:hAnsiTheme="minorBidi" w:cstheme="minorBidi"/>
          <w:color w:val="1F4E79" w:themeColor="accent1" w:themeShade="80"/>
          <w:sz w:val="32"/>
          <w:szCs w:val="32"/>
          <w:rtl/>
        </w:rPr>
        <w:t>المادة 9- إمكانية الوصول</w:t>
      </w:r>
      <w:r w:rsidRPr="00D15FEB">
        <w:rPr>
          <w:rFonts w:asciiTheme="minorBidi" w:hAnsiTheme="minorBidi" w:cstheme="minorBidi"/>
          <w:color w:val="1F4E79" w:themeColor="accent1" w:themeShade="80"/>
          <w:sz w:val="32"/>
          <w:szCs w:val="32"/>
        </w:rPr>
        <w:t xml:space="preserve"> </w:t>
      </w:r>
      <w:bookmarkEnd w:id="10"/>
    </w:p>
    <w:p w:rsidR="00DD2A0B" w:rsidRPr="00443AB2" w:rsidRDefault="00DD2A0B" w:rsidP="006C40F4">
      <w:pPr>
        <w:pStyle w:val="ListParagraph"/>
        <w:numPr>
          <w:ilvl w:val="0"/>
          <w:numId w:val="12"/>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لتمكين الأشخاص ذوي الإعاقة من العيش في استقلالية والمشاركة بشكل كامل في جميع جوانب الحياة، تتخذ الدول الأطراف التدابير المناسبة التي تكفل إمكانية وصول الأشخاص ذوي الإعاقة، على قدم المساواة مع غيرهم، إلى البيئة المادية المحيطة ووسائل النقل والمعلومات والاتصالات، بما في ذلك تكنولوجيات ونظم المعلومات والاتصال، والمرافق والخدمات الأخرى المتاحة لعامة الجمهور أو المقدمة إليه، في المناطق الحضرية والريفية على السواء. وهذه التدابير، التي يجب أن تشمل تحديد العقبات والمعوقات أمام إمكانية الوصول وإزالتها، تنطبق بوجه خاص على ما يلي</w:t>
      </w:r>
      <w:r w:rsidRPr="00443AB2">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المباني والطرق ووسائل النقل والمرافق الأخرى داخل البيوت وخارجها، بما في ذلك المدارس والمساكن والمرافق الطبية وأماكن العمل؛</w:t>
      </w:r>
      <w:r w:rsidRPr="00443AB2">
        <w:rPr>
          <w:rFonts w:asciiTheme="minorBidi" w:eastAsia="Times New Roman" w:hAnsiTheme="minorBidi"/>
          <w:color w:val="000000" w:themeColor="text1"/>
          <w:sz w:val="32"/>
          <w:szCs w:val="32"/>
        </w:rPr>
        <w:t xml:space="preserve"> </w:t>
      </w:r>
    </w:p>
    <w:p w:rsidR="00DD2A0B" w:rsidRPr="00D15FEB" w:rsidRDefault="00DD2A0B" w:rsidP="006C40F4">
      <w:pPr>
        <w:pStyle w:val="ListParagraph"/>
        <w:numPr>
          <w:ilvl w:val="0"/>
          <w:numId w:val="13"/>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المعلومات والاتصالات والخدمات الأخرى، بما فيها الخدمات الإلكترونية وخدمات الطوارئ</w:t>
      </w:r>
      <w:r w:rsidRPr="00D15FEB">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2"/>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أيضا التدابير المناسبة الرامية إلى</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وضع معايير دنيا ومبادئ توجيهية لتهيئة إمكانية الوصول إلى المرافق والخدمات المتاحة لعامة الجمهور أو المقدمة إليه، ونشر هذه المعايير والمبادئ ورصد تنفيذها؛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أن تراعي الكيانات الخاصة التي تعرض مرافق وخدمات متاحة لعامة الجمهور أو مقدمة إليه جميع جوانب إمكانية وصول الأشخاص ذوي الإعاقة إليها؛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التدريب للجهات المعنية بشأن المسائل المتعلقة بإمكانية الوصول التي تواجه الأشخاص ذوي الإعاقة؛</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توفير لافتات بطريقة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xml:space="preserve"> وبأشكال يسهل قراءتها وفهمها في المباني العامة والمرافق الأخرى المتاحة لعامة الجمهور؛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أشكال من المساعدة البشرية والوسطاء، بمن فيهم المرشدون والقراء والأخصائيون المفسرون للغة الإشارة، لتيسير إمكانية الوصول إلى المباني والمرافق الأخرى المتاحة لعامة الجمهور؛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أشكال المساعدة والدعم الأخرى للأشخاص ذوي الإعاقة لضمان حصولهم على المعلومات؛</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إمكانية وصول الأشخاص ذوي الإعاقة إلى تكنولوجيات ونظم المعلومات والاتصال الجديدة، بما فيها شبكة الإنترنت؛</w:t>
      </w:r>
      <w:r w:rsidRPr="00443AB2">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تصميم وتطوير وإنتاج وتوزيع تكنولوجيات ونظم معلومات واتصالات يمكن للأشخاص ذوي الإعاقة الوصول إليها، في مرحلة مبكرة، كي تكون هذه التكنولوجيات والنظم في المتناول بأقل تكلفة</w:t>
      </w:r>
      <w:r w:rsidRPr="00443AB2">
        <w:rPr>
          <w:rFonts w:asciiTheme="minorBidi" w:eastAsia="Times New Roman" w:hAnsiTheme="minorBidi"/>
          <w:color w:val="000000" w:themeColor="text1"/>
          <w:sz w:val="32"/>
          <w:szCs w:val="32"/>
        </w:rPr>
        <w:t xml:space="preserve">. </w:t>
      </w:r>
    </w:p>
    <w:p w:rsidR="00D15FEB" w:rsidRDefault="00D15FEB" w:rsidP="0090070D">
      <w:pPr>
        <w:bidi/>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Pr>
        <w:br w:type="page"/>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1" w:name="10"/>
      <w:r w:rsidRPr="00D15FEB">
        <w:rPr>
          <w:rFonts w:asciiTheme="minorBidi" w:hAnsiTheme="minorBidi" w:cstheme="minorBidi"/>
          <w:color w:val="1F4E79" w:themeColor="accent1" w:themeShade="80"/>
          <w:sz w:val="32"/>
          <w:szCs w:val="32"/>
          <w:rtl/>
        </w:rPr>
        <w:t>المادة 10- الحق في الحياة</w:t>
      </w:r>
      <w:r w:rsidRPr="00D15FEB">
        <w:rPr>
          <w:rFonts w:asciiTheme="minorBidi" w:hAnsiTheme="minorBidi" w:cstheme="minorBidi"/>
          <w:color w:val="1F4E79" w:themeColor="accent1" w:themeShade="80"/>
          <w:sz w:val="32"/>
          <w:szCs w:val="32"/>
        </w:rPr>
        <w:t xml:space="preserve"> </w:t>
      </w:r>
      <w:bookmarkEnd w:id="11"/>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تؤكد الدول الأطراف من جديد أن لكل إنسان الحق الأصيل في الحياة وتتخذ جميع التدابير الضرورية لضمان تمتع الأشخاص ذوي الإعاقة فعليا بهذا الحق على قدم المساواة مع الآخرين</w:t>
      </w:r>
      <w:r w:rsidRPr="00443AB2">
        <w:rPr>
          <w:rFonts w:asciiTheme="minorBidi" w:eastAsia="Times New Roman" w:hAnsiTheme="minorBidi"/>
          <w:color w:val="000000" w:themeColor="text1"/>
          <w:sz w:val="32"/>
          <w:szCs w:val="32"/>
        </w:rPr>
        <w:t xml:space="preserve">. </w:t>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2" w:name="11"/>
      <w:r w:rsidRPr="00D15FEB">
        <w:rPr>
          <w:rFonts w:asciiTheme="minorBidi" w:hAnsiTheme="minorBidi" w:cstheme="minorBidi"/>
          <w:color w:val="1F4E79" w:themeColor="accent1" w:themeShade="80"/>
          <w:sz w:val="32"/>
          <w:szCs w:val="32"/>
          <w:rtl/>
        </w:rPr>
        <w:t>المادة 11- حالات الخطر والطوارئ الإنسانية</w:t>
      </w:r>
      <w:r w:rsidRPr="00D15FEB">
        <w:rPr>
          <w:rFonts w:asciiTheme="minorBidi" w:hAnsiTheme="minorBidi" w:cstheme="minorBidi"/>
          <w:color w:val="1F4E79" w:themeColor="accent1" w:themeShade="80"/>
          <w:sz w:val="32"/>
          <w:szCs w:val="32"/>
        </w:rPr>
        <w:t xml:space="preserve"> </w:t>
      </w:r>
      <w:bookmarkEnd w:id="1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تتعهد الدول الأطراف وفقا لمسؤولياتها الواردة في القانون الدولي، بما فيها القانون الإنساني الدولي وكذلك القانون الدولي لحقوق الإنسان، باتخاذ كافة التدابير الممكنة لضمان حماية وسلامة الأشخاص ذوي الإعاقة الذين يوجدون في حالات تتسم بالخطورة، بما في ذلك حالات النـزاع المسلح والطوارئ الإنسانية والكوارث الطبيعية</w:t>
      </w:r>
      <w:r w:rsidRPr="00443AB2">
        <w:rPr>
          <w:rFonts w:asciiTheme="minorBidi" w:eastAsia="Times New Roman" w:hAnsiTheme="minorBidi"/>
          <w:color w:val="000000" w:themeColor="text1"/>
          <w:sz w:val="32"/>
          <w:szCs w:val="32"/>
        </w:rPr>
        <w:t xml:space="preserve">. </w:t>
      </w:r>
    </w:p>
    <w:p w:rsidR="00DD2A0B" w:rsidRDefault="00DD2A0B" w:rsidP="0090070D">
      <w:pPr>
        <w:pStyle w:val="Heading3"/>
        <w:bidi/>
        <w:rPr>
          <w:rFonts w:asciiTheme="minorBidi" w:hAnsiTheme="minorBidi" w:cstheme="minorBidi"/>
          <w:color w:val="1F4E79" w:themeColor="accent1" w:themeShade="80"/>
          <w:sz w:val="32"/>
          <w:szCs w:val="32"/>
          <w:rtl/>
        </w:rPr>
      </w:pPr>
      <w:bookmarkStart w:id="13" w:name="12"/>
      <w:r w:rsidRPr="00D15FEB">
        <w:rPr>
          <w:rFonts w:asciiTheme="minorBidi" w:hAnsiTheme="minorBidi" w:cstheme="minorBidi"/>
          <w:color w:val="1F4E79" w:themeColor="accent1" w:themeShade="80"/>
          <w:sz w:val="32"/>
          <w:szCs w:val="32"/>
          <w:rtl/>
        </w:rPr>
        <w:t>المادة 12- الاعتـراف بالأشخاص ذوي الإعاقة على قدم المساواة مع آخرين أمام القانون</w:t>
      </w:r>
      <w:r w:rsidRPr="00D15FEB">
        <w:rPr>
          <w:rFonts w:asciiTheme="minorBidi" w:hAnsiTheme="minorBidi" w:cstheme="minorBidi"/>
          <w:color w:val="1F4E79" w:themeColor="accent1" w:themeShade="80"/>
          <w:sz w:val="32"/>
          <w:szCs w:val="32"/>
        </w:rPr>
        <w:t xml:space="preserve"> </w:t>
      </w:r>
      <w:bookmarkEnd w:id="13"/>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تؤكد الدول الأطراف من جديد حق الأشخاص ذوي الإعاقة في الاعتراف به</w:t>
      </w:r>
      <w:r w:rsidR="00D15FEB">
        <w:rPr>
          <w:rFonts w:asciiTheme="minorBidi" w:eastAsia="Times New Roman" w:hAnsiTheme="minorBidi"/>
          <w:color w:val="000000" w:themeColor="text1"/>
          <w:sz w:val="32"/>
          <w:szCs w:val="32"/>
          <w:rtl/>
        </w:rPr>
        <w:t>م في كل مكان كأشخاص أمام القانو</w:t>
      </w:r>
      <w:r w:rsidR="00D15FEB">
        <w:rPr>
          <w:rFonts w:asciiTheme="minorBidi" w:eastAsia="Times New Roman" w:hAnsiTheme="minorBidi" w:hint="cs"/>
          <w:color w:val="000000" w:themeColor="text1"/>
          <w:sz w:val="32"/>
          <w:szCs w:val="32"/>
          <w:rtl/>
        </w:rPr>
        <w:t>ن.</w:t>
      </w:r>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Pr>
        <w:t xml:space="preserve"> </w:t>
      </w:r>
      <w:r w:rsidRPr="00D15FEB">
        <w:rPr>
          <w:rFonts w:asciiTheme="minorBidi" w:eastAsia="Times New Roman" w:hAnsiTheme="minorBidi"/>
          <w:color w:val="000000" w:themeColor="text1"/>
          <w:sz w:val="32"/>
          <w:szCs w:val="32"/>
          <w:rtl/>
        </w:rPr>
        <w:t>تقر الدول الأطراف بتمتع الأشخاص ذوي الإعاقة بأهلية قانونية على قدم المساواة مع آخرين في جميع مناحي الحياة</w:t>
      </w:r>
      <w:r w:rsidRPr="00D15FEB">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 xml:space="preserve">تتخذ الدول الأطراف التدابير المناسبة لتوفير إمكانية حصول الأشخاص ذوي الإعاقة على الدعم الذي قد </w:t>
      </w:r>
      <w:proofErr w:type="spellStart"/>
      <w:r w:rsidRPr="00D15FEB">
        <w:rPr>
          <w:rFonts w:asciiTheme="minorBidi" w:eastAsia="Times New Roman" w:hAnsiTheme="minorBidi"/>
          <w:color w:val="000000" w:themeColor="text1"/>
          <w:sz w:val="32"/>
          <w:szCs w:val="32"/>
          <w:rtl/>
        </w:rPr>
        <w:t>يتطلبونه</w:t>
      </w:r>
      <w:proofErr w:type="spellEnd"/>
      <w:r w:rsidRPr="00D15FEB">
        <w:rPr>
          <w:rFonts w:asciiTheme="minorBidi" w:eastAsia="Times New Roman" w:hAnsiTheme="minorBidi"/>
          <w:color w:val="000000" w:themeColor="text1"/>
          <w:sz w:val="32"/>
          <w:szCs w:val="32"/>
          <w:rtl/>
        </w:rPr>
        <w:t xml:space="preserve"> أثناء ممارسة أهليتهم القانونية</w:t>
      </w:r>
      <w:r w:rsidRPr="00D15FEB">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تكفل الدول الأطراف أن توفر جميع التدابير المرتبطة بممارسة الأهلية القانونية الضمانات المناسبة والفعالة لمنع إساءة استعمال هذه التدابير وفقا للقانون الدولي لحقوق الإنسان. وتكفل هذه الضمانات أن تحترم التدابير المرتبطة بممارسة الأهلية القانونية حقوق الشخص المعني وإرادته وأفضلياته، وأن تكون مجردة من تضارب المصالح ومن التأثيــــر الذي لا مسوغ له، ومتناسبة ومتماشية مع ظروف الشخص، وتسري في أقصر مدة ممكنة، وتخضع لمراجعة منتظمة من جانب سلطة مختصة ومستقلة ومحايدة أو من جانب هيئة قضائية. وتكون هذه الضمانات متناسبة مع القدر الذي تؤثر به التدابير في حقوق الشخص ومصالحه</w:t>
      </w:r>
      <w:r w:rsidRPr="00D15FEB">
        <w:rPr>
          <w:rFonts w:asciiTheme="minorBidi" w:eastAsia="Times New Roman" w:hAnsiTheme="minorBidi"/>
          <w:color w:val="000000" w:themeColor="text1"/>
          <w:sz w:val="32"/>
          <w:szCs w:val="32"/>
        </w:rPr>
        <w:t xml:space="preserve">. </w:t>
      </w:r>
    </w:p>
    <w:p w:rsidR="00DD2A0B" w:rsidRP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رهنا بأحكام هذه المادة، تتخذ الدول الأطراف جميع التدابير المناسبة والفعالة لضمان حق الأشخاص ذوي الإعاقة، على أساس المساواة، في ملكية أو وراثة الممتلكات وإدارة شؤونهم المالية وإمكانية حصولهم، مساواة بغيرهم، على القروض المصرفية والرهون وغيرها من أشكال الائتمان المالي، وتضمن عدم حرمان الأشخاص ذوي الإعاقة بشكل تعسفي من ممتلكاتهم</w:t>
      </w:r>
      <w:r w:rsidRPr="00D15FEB">
        <w:rPr>
          <w:rFonts w:asciiTheme="minorBidi" w:eastAsia="Times New Roman" w:hAnsiTheme="minorBidi"/>
          <w:color w:val="000000" w:themeColor="text1"/>
          <w:sz w:val="32"/>
          <w:szCs w:val="32"/>
        </w:rPr>
        <w:t xml:space="preserve">. </w:t>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4" w:name="13"/>
      <w:r w:rsidRPr="00D15FEB">
        <w:rPr>
          <w:rFonts w:asciiTheme="minorBidi" w:hAnsiTheme="minorBidi" w:cstheme="minorBidi"/>
          <w:color w:val="1F4E79" w:themeColor="accent1" w:themeShade="80"/>
          <w:sz w:val="32"/>
          <w:szCs w:val="32"/>
          <w:rtl/>
        </w:rPr>
        <w:t>المادة 13- إمكانية اللجوء إلى القضاء</w:t>
      </w:r>
      <w:r w:rsidRPr="00D15FEB">
        <w:rPr>
          <w:rFonts w:asciiTheme="minorBidi" w:hAnsiTheme="minorBidi" w:cstheme="minorBidi"/>
          <w:color w:val="1F4E79" w:themeColor="accent1" w:themeShade="80"/>
          <w:sz w:val="32"/>
          <w:szCs w:val="32"/>
        </w:rPr>
        <w:t xml:space="preserve"> </w:t>
      </w:r>
      <w:bookmarkEnd w:id="14"/>
    </w:p>
    <w:p w:rsidR="00DD2A0B" w:rsidRDefault="00DD2A0B" w:rsidP="006C40F4">
      <w:pPr>
        <w:pStyle w:val="ListParagraph"/>
        <w:numPr>
          <w:ilvl w:val="0"/>
          <w:numId w:val="16"/>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تكفل الدول الأطراف سبلا فعالة للأشخاص ذوي الإعاقة للجوء إلى القضاء على قدم المساواة مع الآخرين، بما في ذلك من خلال توفير </w:t>
      </w:r>
      <w:proofErr w:type="spellStart"/>
      <w:r w:rsidRPr="00443AB2">
        <w:rPr>
          <w:rFonts w:asciiTheme="minorBidi" w:eastAsia="Times New Roman" w:hAnsiTheme="minorBidi"/>
          <w:color w:val="000000" w:themeColor="text1"/>
          <w:sz w:val="32"/>
          <w:szCs w:val="32"/>
          <w:rtl/>
        </w:rPr>
        <w:t>التيسيرات</w:t>
      </w:r>
      <w:proofErr w:type="spellEnd"/>
      <w:r w:rsidRPr="00443AB2">
        <w:rPr>
          <w:rFonts w:asciiTheme="minorBidi" w:eastAsia="Times New Roman" w:hAnsiTheme="minorBidi"/>
          <w:color w:val="000000" w:themeColor="text1"/>
          <w:sz w:val="32"/>
          <w:szCs w:val="32"/>
          <w:rtl/>
        </w:rPr>
        <w:t xml:space="preserve"> الإجرائية التي تتناسب مع أعمارهم، بغرض تيسر دورهم الفعال في المشاركة المباشرة وغير المباشرة، بما في ذلك بصفتهم شهودا، في جميع الإجراءات القانونية، بما فيها مراحل التحقيق والمراحل التمهيدية الأخرى</w:t>
      </w:r>
      <w:r w:rsidRPr="00443AB2">
        <w:rPr>
          <w:rFonts w:asciiTheme="minorBidi" w:eastAsia="Times New Roman" w:hAnsiTheme="minorBidi"/>
          <w:color w:val="000000" w:themeColor="text1"/>
          <w:sz w:val="32"/>
          <w:szCs w:val="32"/>
        </w:rPr>
        <w:t xml:space="preserve">. </w:t>
      </w:r>
    </w:p>
    <w:p w:rsidR="00DD2A0B" w:rsidRPr="00D15FEB" w:rsidRDefault="00DD2A0B" w:rsidP="006C40F4">
      <w:pPr>
        <w:pStyle w:val="ListParagraph"/>
        <w:numPr>
          <w:ilvl w:val="0"/>
          <w:numId w:val="16"/>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لكفالة إمكانية لجوء الأشخاص ذوي الإعاقة إلى القضاء فعليا، تشجع الدول الأطراف التدريب المناسب للعاملين في مجال إقامة العدل، ومن ضمنهم الشرطة وموظفو السجون</w:t>
      </w:r>
      <w:r w:rsidRPr="00D15FEB">
        <w:rPr>
          <w:rFonts w:asciiTheme="minorBidi" w:eastAsia="Times New Roman" w:hAnsiTheme="minorBidi"/>
          <w:color w:val="000000" w:themeColor="text1"/>
          <w:sz w:val="32"/>
          <w:szCs w:val="32"/>
        </w:rPr>
        <w:t xml:space="preserve">. </w:t>
      </w:r>
    </w:p>
    <w:p w:rsidR="000B1F51" w:rsidRDefault="00DD2A0B" w:rsidP="0090070D">
      <w:pPr>
        <w:pStyle w:val="Heading3"/>
        <w:bidi/>
        <w:rPr>
          <w:rFonts w:asciiTheme="minorBidi" w:hAnsiTheme="minorBidi" w:cstheme="minorBidi"/>
          <w:color w:val="000000" w:themeColor="text1"/>
          <w:sz w:val="32"/>
          <w:szCs w:val="32"/>
          <w:rtl/>
        </w:rPr>
      </w:pPr>
      <w:bookmarkStart w:id="15" w:name="14"/>
      <w:r w:rsidRPr="00D15FEB">
        <w:rPr>
          <w:rFonts w:asciiTheme="minorBidi" w:hAnsiTheme="minorBidi" w:cstheme="minorBidi"/>
          <w:color w:val="1F4E79" w:themeColor="accent1" w:themeShade="80"/>
          <w:sz w:val="32"/>
          <w:szCs w:val="32"/>
          <w:rtl/>
        </w:rPr>
        <w:t>المادة 14- حرية الشخص وأمنه</w:t>
      </w:r>
    </w:p>
    <w:p w:rsidR="00DD2A0B" w:rsidRPr="000B1F51" w:rsidRDefault="00DD2A0B" w:rsidP="006C40F4">
      <w:pPr>
        <w:pStyle w:val="ListParagraph"/>
        <w:numPr>
          <w:ilvl w:val="0"/>
          <w:numId w:val="18"/>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للأشخاص ذوي الإعاقة على قدم المساواة مع الآخرين</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1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بالحق في الحرية الشخصية والأمن الشخصي؛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حرمانهم من حريتهم بشكل غير قانوني أو بشكل تعسفي وأن يكون أي حرمان من الحرية متسقا مع القانون، وألا يكون وجود الإعاقة مبررا بأي حال من الأحوال لأي حرمان من الحرية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8"/>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 xml:space="preserve">تكفل الدول الأطراف في حالة حرمان الأشخاص ذوي الإعاقة من حريتهم، نتيجة أية إجراءات، أن يخول لهم، على قدم المساواة مع غيرهم، ضمانات وفقا للقانون الدولي لحقوق الإنسان، وأن يُعاملوا وفقا لأهداف ومبادئ هذه الاتفاقية، بما في ذلك توفير الترتيبات </w:t>
      </w:r>
      <w:proofErr w:type="spellStart"/>
      <w:r w:rsidRPr="00443AB2">
        <w:rPr>
          <w:rFonts w:asciiTheme="minorBidi" w:eastAsia="Times New Roman" w:hAnsiTheme="minorBidi"/>
          <w:color w:val="000000" w:themeColor="text1"/>
          <w:sz w:val="32"/>
          <w:szCs w:val="32"/>
          <w:rtl/>
        </w:rPr>
        <w:t>التيسيرية</w:t>
      </w:r>
      <w:proofErr w:type="spellEnd"/>
      <w:r w:rsidRPr="00443AB2">
        <w:rPr>
          <w:rFonts w:asciiTheme="minorBidi" w:eastAsia="Times New Roman" w:hAnsiTheme="minorBidi"/>
          <w:color w:val="000000" w:themeColor="text1"/>
          <w:sz w:val="32"/>
          <w:szCs w:val="32"/>
          <w:rtl/>
        </w:rPr>
        <w:t xml:space="preserve"> المعقولة لهم</w:t>
      </w:r>
      <w:r w:rsidRPr="00443AB2">
        <w:rPr>
          <w:rFonts w:asciiTheme="minorBidi" w:eastAsia="Times New Roman" w:hAnsiTheme="minorBidi"/>
          <w:color w:val="000000" w:themeColor="text1"/>
          <w:sz w:val="32"/>
          <w:szCs w:val="32"/>
        </w:rPr>
        <w:t xml:space="preserve">. </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16" w:name="15"/>
      <w:bookmarkEnd w:id="15"/>
      <w:r w:rsidRPr="000B1F51">
        <w:rPr>
          <w:rFonts w:asciiTheme="minorBidi" w:hAnsiTheme="minorBidi" w:cstheme="minorBidi"/>
          <w:color w:val="1F4E79" w:themeColor="accent1" w:themeShade="80"/>
          <w:sz w:val="32"/>
          <w:szCs w:val="32"/>
          <w:rtl/>
        </w:rPr>
        <w:t>المادة 15- عدم التعرض للتعذيب أو المعاملة أو العقوبة القاسية أو اللاإنسانية أو المهينة</w:t>
      </w:r>
      <w:r w:rsidRPr="000B1F51">
        <w:rPr>
          <w:rFonts w:asciiTheme="minorBidi" w:hAnsiTheme="minorBidi" w:cstheme="minorBidi"/>
          <w:color w:val="1F4E79" w:themeColor="accent1" w:themeShade="80"/>
          <w:sz w:val="32"/>
          <w:szCs w:val="32"/>
        </w:rPr>
        <w:t xml:space="preserve"> </w:t>
      </w:r>
      <w:bookmarkEnd w:id="16"/>
    </w:p>
    <w:p w:rsidR="00DD2A0B" w:rsidRPr="00443AB2" w:rsidRDefault="00DD2A0B" w:rsidP="006C40F4">
      <w:pPr>
        <w:pStyle w:val="ListParagraph"/>
        <w:numPr>
          <w:ilvl w:val="0"/>
          <w:numId w:val="19"/>
        </w:numPr>
        <w:bidi/>
        <w:spacing w:after="0" w:line="360" w:lineRule="auto"/>
        <w:ind w:left="360" w:hanging="54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يُعَّرض أي شخص للتعذيب أو المعاملة أو العقوبة القاسية أو اللاإنسانية أو المهينة. وبشكل خاص لا يعرض أي شخص لإجراء التجارب الطبية والعلمية عليه دون موافقته بكامل حريته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9"/>
        </w:numPr>
        <w:bidi/>
        <w:spacing w:after="0" w:line="360" w:lineRule="auto"/>
        <w:ind w:left="360" w:hanging="54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التدابير التشريعية والإدارية والقضائية وغيرها من التدابير الفعالة لمنع إخضاع الأشخاص ذوي الإعاقة، على قدم المساواة مع الآخرين، للتعذيب أو المعاملة أو العقوبة القاسية أو اللاإنسانية أو المهينة</w:t>
      </w:r>
      <w:r w:rsidRPr="00443AB2">
        <w:rPr>
          <w:rFonts w:asciiTheme="minorBidi" w:eastAsia="Times New Roman" w:hAnsiTheme="minorBidi"/>
          <w:color w:val="000000" w:themeColor="text1"/>
          <w:sz w:val="32"/>
          <w:szCs w:val="32"/>
        </w:rPr>
        <w:t xml:space="preserve">. </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17" w:name="16"/>
      <w:r w:rsidRPr="000B1F51">
        <w:rPr>
          <w:rFonts w:asciiTheme="minorBidi" w:hAnsiTheme="minorBidi" w:cstheme="minorBidi"/>
          <w:color w:val="1F4E79" w:themeColor="accent1" w:themeShade="80"/>
          <w:sz w:val="32"/>
          <w:szCs w:val="32"/>
          <w:rtl/>
        </w:rPr>
        <w:t>المادة 16- عدم التعرض للاستغلال والعنف والاعتداء</w:t>
      </w:r>
      <w:r w:rsidRPr="000B1F51">
        <w:rPr>
          <w:rFonts w:asciiTheme="minorBidi" w:hAnsiTheme="minorBidi" w:cstheme="minorBidi"/>
          <w:color w:val="1F4E79" w:themeColor="accent1" w:themeShade="80"/>
          <w:sz w:val="32"/>
          <w:szCs w:val="32"/>
        </w:rPr>
        <w:t xml:space="preserve"> </w:t>
      </w:r>
      <w:bookmarkEnd w:id="17"/>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التدابير التشريعية والإدارية والاجتماعية والتعليمية وغيرها من التدابير المناسبة لحماية الأشخاص ذوي الإعاقة، داخل منازلهم وخارجها على السواء، من جميع أشكال الاستغلال والعنف والاعتداء، بما في ذلك جوانبها القائمة على نوع الجنس</w:t>
      </w:r>
      <w:r w:rsidRPr="00443AB2">
        <w:rPr>
          <w:rFonts w:asciiTheme="minorBidi" w:eastAsia="Times New Roman" w:hAnsiTheme="minorBidi"/>
          <w:color w:val="000000" w:themeColor="text1"/>
          <w:sz w:val="32"/>
          <w:szCs w:val="32"/>
        </w:rPr>
        <w:t xml:space="preserve">. </w:t>
      </w:r>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تتخذ الدول الأطراف أيضا جميع التدابير المناسبة لمنع جميع أشكال الاستغلال والعنف والاعتداء بكفالة أمور منها توفير أشكال مناسبة من المساعدة والدعم للأشخاص ذوي الإعاقة وأسرهم ومقدمي الرعاية لهم تراعي نوع جنس الأشخاص ذوي الإعاقة وسنهم، بما في ذلك عن طريق توفير المعلومات والتثقيف بشأن كيفية تجنب حالات الاستغلال والعنف والاعتداء والتعرف عليها والإبلاغ عنها. وتكفل الدول الأطراف أن يراعى في توفير خدمات الحماية سن الأشخاص ذوي الإعاقة ونوع جنسهم وإعاقتهم</w:t>
      </w:r>
      <w:r w:rsidRPr="000B1F51">
        <w:rPr>
          <w:rFonts w:asciiTheme="minorBidi" w:eastAsia="Times New Roman" w:hAnsiTheme="minorBidi"/>
          <w:color w:val="000000" w:themeColor="text1"/>
          <w:sz w:val="32"/>
          <w:szCs w:val="32"/>
        </w:rPr>
        <w:t xml:space="preserve">. </w:t>
      </w:r>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تكفل الدول الأطراف قيام سلطات مستقلة برصد جميع المرافق والبرامج المعدّة لخدمة الأشخاص ذوي الإعاقة رصدا فعالا للحيلولة دون حدوث جميع أشكال الاستغلال والعنف والاعتداء</w:t>
      </w:r>
      <w:r w:rsidRPr="000B1F51">
        <w:rPr>
          <w:rFonts w:asciiTheme="minorBidi" w:eastAsia="Times New Roman" w:hAnsiTheme="minorBidi"/>
          <w:color w:val="000000" w:themeColor="text1"/>
          <w:sz w:val="32"/>
          <w:szCs w:val="32"/>
        </w:rPr>
        <w:t xml:space="preserve">. </w:t>
      </w:r>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تتخذ الدول الأطراف جميع التدابير المناسبة لتشجيع استعادة الأشخاص ذوي الإعاقة عافيتهم البدنية والإدراكية والنفسية، وإعادة تأهيلهم، وإعادة إدماجهم في المجتمع عندما يتعرضون لأي شكل من أشكال الاستغلال أو العنف أو الاعتداء، بما في ذلك عن طريق توفير خدمات الحماية لهم. وتتحقق استعادة العافية وإعادة الإدماج في بيئة تعزز صحة الفرد ورفاهيته واحترامه لنفسه وكرامته واستقلاله الذاتي وتراعي الاحتياجات الخاصة بكل من نوع الجنس والسن</w:t>
      </w:r>
      <w:r w:rsidRPr="000B1F51">
        <w:rPr>
          <w:rFonts w:asciiTheme="minorBidi" w:eastAsia="Times New Roman" w:hAnsiTheme="minorBidi"/>
          <w:color w:val="000000" w:themeColor="text1"/>
          <w:sz w:val="32"/>
          <w:szCs w:val="32"/>
        </w:rPr>
        <w:t xml:space="preserve">. </w:t>
      </w:r>
    </w:p>
    <w:p w:rsidR="00DD2A0B" w:rsidRP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تضع الدول الأطراف تشريعات وسياسات فعالة، من ضمنها تشريعات وسياسات تركز على النساء والأطفال، لكفالة التعرف على حالات الاستغلال والعنف والاعتداء التي يتعرض لها الأشخاص ذوو الإعاقة والتحقيق فيها، وعند الاقتضاء، المقاضاة عليها</w:t>
      </w:r>
      <w:r w:rsidRPr="000B1F51">
        <w:rPr>
          <w:rFonts w:asciiTheme="minorBidi" w:eastAsia="Times New Roman" w:hAnsiTheme="minorBidi"/>
          <w:color w:val="000000" w:themeColor="text1"/>
          <w:sz w:val="32"/>
          <w:szCs w:val="32"/>
        </w:rPr>
        <w:t>.</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18" w:name="17"/>
      <w:r w:rsidRPr="000B1F51">
        <w:rPr>
          <w:rFonts w:asciiTheme="minorBidi" w:hAnsiTheme="minorBidi" w:cstheme="minorBidi"/>
          <w:color w:val="1F4E79" w:themeColor="accent1" w:themeShade="80"/>
          <w:sz w:val="32"/>
          <w:szCs w:val="32"/>
          <w:rtl/>
        </w:rPr>
        <w:t>المادة 17- حماية السلامة الشخصية</w:t>
      </w:r>
      <w:r w:rsidRPr="000B1F51">
        <w:rPr>
          <w:rFonts w:asciiTheme="minorBidi" w:hAnsiTheme="minorBidi" w:cstheme="minorBidi"/>
          <w:color w:val="1F4E79" w:themeColor="accent1" w:themeShade="80"/>
          <w:sz w:val="32"/>
          <w:szCs w:val="32"/>
        </w:rPr>
        <w:t xml:space="preserve"> </w:t>
      </w:r>
      <w:bookmarkEnd w:id="18"/>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لكل شخص ذي إعاقة الحق في احترام سلامته الشخصية والعقلية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Heading3"/>
        <w:bidi/>
        <w:rPr>
          <w:rFonts w:asciiTheme="minorBidi" w:hAnsiTheme="minorBidi" w:cstheme="minorBidi"/>
          <w:color w:val="000000" w:themeColor="text1"/>
          <w:sz w:val="32"/>
          <w:szCs w:val="32"/>
        </w:rPr>
      </w:pPr>
      <w:bookmarkStart w:id="19" w:name="18"/>
      <w:r w:rsidRPr="000B1F51">
        <w:rPr>
          <w:rFonts w:asciiTheme="minorBidi" w:hAnsiTheme="minorBidi" w:cstheme="minorBidi"/>
          <w:color w:val="1F4E79" w:themeColor="accent1" w:themeShade="80"/>
          <w:sz w:val="32"/>
          <w:szCs w:val="32"/>
          <w:rtl/>
        </w:rPr>
        <w:t>المادة 18- حرية التنقل والجنسية</w:t>
      </w:r>
      <w:r w:rsidRPr="000B1F51">
        <w:rPr>
          <w:rFonts w:asciiTheme="minorBidi" w:hAnsiTheme="minorBidi" w:cstheme="minorBidi"/>
          <w:color w:val="1F4E79" w:themeColor="accent1" w:themeShade="80"/>
          <w:sz w:val="32"/>
          <w:szCs w:val="32"/>
        </w:rPr>
        <w:t xml:space="preserve"> </w:t>
      </w:r>
      <w:bookmarkEnd w:id="19"/>
    </w:p>
    <w:p w:rsidR="00DD2A0B" w:rsidRPr="00443AB2" w:rsidRDefault="00DD2A0B" w:rsidP="006C40F4">
      <w:pPr>
        <w:pStyle w:val="ListParagraph"/>
        <w:numPr>
          <w:ilvl w:val="0"/>
          <w:numId w:val="21"/>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بحق الأشخاص ذوي الإعاقة في التمتع بحرية التنقل، وحرية اختيار مكان إقامتهم والحصول على الجنسية، على قدم المساواة مع الآخرين، بما في ذلك ضمان تمتع الأشخاص ذوي الإعاقة بما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الحق في الحصول على الجنسية وتغييرها وعدم حرمانهم من جنسيتهم تعسفا أو على أساس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حرمانهم على أساس الإعاقة من إمكانية حيازة وامتلاك واستعمال وثائق جنسياتهم أو وثائق أخرى لإثبات الهوية أو اللجوء إلى عمليات أخرى مناسبة، مثل إجراءات الهجرة، قد تستدعيها الضرورة لتيسير ممارسة الحق في حرية التنقل؛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الحق في مغادرة أي بلد بما في ذلك بلدهم؛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حرمانهم تعسفا أو على أساس الإعاقة من حق دخول بلدهم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1"/>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يسجل الأطفال ذوو الإعاقة فور ولادتهم ويكون لهم منذئذ الحق في الحصول على اسم والحق في اكتساب الجنسية والحق بقدر الإمكان في أن يعرفوا والديهم وأن يتمتعوا برعايتهم</w:t>
      </w:r>
      <w:r w:rsidRPr="00443AB2">
        <w:rPr>
          <w:rFonts w:asciiTheme="minorBidi" w:eastAsia="Times New Roman" w:hAnsiTheme="minorBidi"/>
          <w:color w:val="000000" w:themeColor="text1"/>
          <w:sz w:val="32"/>
          <w:szCs w:val="32"/>
        </w:rPr>
        <w:t xml:space="preserve">. </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20" w:name="19"/>
      <w:r w:rsidRPr="000B1F51">
        <w:rPr>
          <w:rFonts w:asciiTheme="minorBidi" w:hAnsiTheme="minorBidi" w:cstheme="minorBidi"/>
          <w:color w:val="1F4E79" w:themeColor="accent1" w:themeShade="80"/>
          <w:sz w:val="32"/>
          <w:szCs w:val="32"/>
          <w:rtl/>
        </w:rPr>
        <w:t>المادة 19-العيش المستقل والإدماج في المجتمع</w:t>
      </w:r>
      <w:r w:rsidRPr="000B1F51">
        <w:rPr>
          <w:rFonts w:asciiTheme="minorBidi" w:hAnsiTheme="minorBidi" w:cstheme="minorBidi"/>
          <w:color w:val="1F4E79" w:themeColor="accent1" w:themeShade="80"/>
          <w:sz w:val="32"/>
          <w:szCs w:val="32"/>
        </w:rPr>
        <w:t xml:space="preserve"> </w:t>
      </w:r>
      <w:bookmarkEnd w:id="20"/>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في هذه الاتفاقية بحق جميع الأشخاص ذوي الإعاقة، مساواة بغيرهم، في العيش في المجتمع، بخيارات مساوية لخيارات الآخرين، وتتخذ تدابير فعالة ومناسبة لتيسير تمتع الأشخاص ذوي الإعاقة الكامل بحقهم وإدماجهم ومشاركتهم بصورة كاملة في المجتمع. ويشمل ذلك كفالة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إتاحة الفرصة للأشخاص ذوي الإعاقة في أن يختاروا مكان إقامتهم ومحل سكناهم والأشخاص الذين يعيشون معهم على قدم المساواة مع الآخرين وعدم إجبارهم على العيش في إطار ترتيب معيشي خاص؛</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إمكانية حصول الأشخاص ذوي الإعاقة على طائفة من خدمات المؤازرة في المنـزل وفي محل الإقامة وغيرها من الخدمات المجتمعية، بما في ذلك المساعدة الشخصية الضرورية لتيسير عيشهم وإدماجهم في المجتمع، ووقايتهم من الانعزال أو الانفصال عنه؛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استفادة الأشخاص ذوي الإعاقة، على قدم المساواة مع الآخرين، من الخدمات والمرافق المجتمعية المتاحة لعامة الناس، وضمان استجابة هذه الخدمات لاحتياجاتهم</w:t>
      </w:r>
      <w:r w:rsidRPr="00443AB2">
        <w:rPr>
          <w:rFonts w:asciiTheme="minorBidi" w:eastAsia="Times New Roman" w:hAnsiTheme="minorBidi"/>
          <w:color w:val="000000" w:themeColor="text1"/>
          <w:sz w:val="32"/>
          <w:szCs w:val="32"/>
        </w:rPr>
        <w:t xml:space="preserve">. </w:t>
      </w:r>
    </w:p>
    <w:p w:rsidR="00DD2A0B" w:rsidRPr="00307603" w:rsidRDefault="00DD2A0B" w:rsidP="0090070D">
      <w:pPr>
        <w:pStyle w:val="Heading3"/>
        <w:bidi/>
        <w:rPr>
          <w:rFonts w:asciiTheme="minorBidi" w:hAnsiTheme="minorBidi" w:cstheme="minorBidi"/>
          <w:color w:val="1F4E79" w:themeColor="accent1" w:themeShade="80"/>
          <w:sz w:val="32"/>
          <w:szCs w:val="32"/>
        </w:rPr>
      </w:pPr>
      <w:bookmarkStart w:id="21" w:name="20"/>
      <w:r w:rsidRPr="00307603">
        <w:rPr>
          <w:rFonts w:asciiTheme="minorBidi" w:hAnsiTheme="minorBidi" w:cstheme="minorBidi"/>
          <w:color w:val="1F4E79" w:themeColor="accent1" w:themeShade="80"/>
          <w:sz w:val="32"/>
          <w:szCs w:val="32"/>
          <w:rtl/>
        </w:rPr>
        <w:t>المادة 20- التنقل الشخصي</w:t>
      </w:r>
      <w:r w:rsidRPr="00307603">
        <w:rPr>
          <w:rFonts w:asciiTheme="minorBidi" w:hAnsiTheme="minorBidi" w:cstheme="minorBidi"/>
          <w:color w:val="1F4E79" w:themeColor="accent1" w:themeShade="80"/>
          <w:sz w:val="32"/>
          <w:szCs w:val="32"/>
        </w:rPr>
        <w:t xml:space="preserve"> </w:t>
      </w:r>
      <w:bookmarkEnd w:id="21"/>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تدابير فعالة تكفل للأشخاص ذوي الإعاقة حرية التنقل بأكبر قدر ممكن من الاستقلالية، بما في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تيسير حرية تنقل الأشخاص ذوي الإعاقة بالطريقة وفي الوقت اللذين يختارونهما وبتكلفة في متناولهم؛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تيسير حصول الأشخاص ذوي الإعاقة على ما يتسم بالجودة من الوسائل والأجهزة المساعدة على التنقل والتكنولوجيات المُعِينة وأشكال من المساعدة البشرية والوسطاء، بما في ذلك جعلها في متناولهم من حيث التكلفة؛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التدريب للأشخاص ذوي الإعاقة والمتخصصين العاملين معهم على مهارات التنقل؛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الكيانات الخاصة التي تنتج الوسائل والأجهزة المساعدة على التنقل والأجهزة والتكنولوجيات المُعِينة على مراعاة جميع الجوانب المتعلقة بتنقل الأشخاص ذوي الإعاقة</w:t>
      </w:r>
      <w:r w:rsidRPr="00443AB2">
        <w:rPr>
          <w:rFonts w:asciiTheme="minorBidi" w:eastAsia="Times New Roman" w:hAnsiTheme="minorBidi"/>
          <w:color w:val="000000" w:themeColor="text1"/>
          <w:sz w:val="32"/>
          <w:szCs w:val="32"/>
        </w:rPr>
        <w:t xml:space="preserve">. </w:t>
      </w:r>
    </w:p>
    <w:p w:rsidR="00DD2A0B" w:rsidRPr="005C6F56" w:rsidRDefault="00DD2A0B" w:rsidP="0090070D">
      <w:pPr>
        <w:pStyle w:val="Heading3"/>
        <w:bidi/>
        <w:rPr>
          <w:rFonts w:asciiTheme="minorBidi" w:hAnsiTheme="minorBidi" w:cstheme="minorBidi"/>
          <w:color w:val="1F4E79" w:themeColor="accent1" w:themeShade="80"/>
          <w:sz w:val="32"/>
          <w:szCs w:val="32"/>
        </w:rPr>
      </w:pPr>
      <w:bookmarkStart w:id="22" w:name="21"/>
      <w:r w:rsidRPr="005C6F56">
        <w:rPr>
          <w:rFonts w:asciiTheme="minorBidi" w:hAnsiTheme="minorBidi" w:cstheme="minorBidi"/>
          <w:color w:val="1F4E79" w:themeColor="accent1" w:themeShade="80"/>
          <w:sz w:val="32"/>
          <w:szCs w:val="32"/>
          <w:rtl/>
        </w:rPr>
        <w:t>المادة 21- حرية التعبير والرأي والحصول على معلومات</w:t>
      </w:r>
      <w:r w:rsidRPr="005C6F56">
        <w:rPr>
          <w:rFonts w:asciiTheme="minorBidi" w:hAnsiTheme="minorBidi" w:cstheme="minorBidi"/>
          <w:color w:val="1F4E79" w:themeColor="accent1" w:themeShade="80"/>
          <w:sz w:val="32"/>
          <w:szCs w:val="32"/>
        </w:rPr>
        <w:t xml:space="preserve"> </w:t>
      </w:r>
      <w:bookmarkEnd w:id="2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التدابير المناسبة التي تكفل ممارسة الأشخاص ذوي الإعاقة لحقهم في حرية التعبير والرأي، بما في ذلك الحق في طلب معلومات وأفكار، وتلقيها، والإفصاح عنها، على قدم المساواة مع الآخرين، وعن طريق جميع وسائل الاتصال التي يختارونها بأنفسهم، على النحو المعرّف في المادة 2 من هذه الاتفاقية، بما في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تزويد الأشخاص ذوي الإعاقة بمعلومات موجهة لعامة الناس باستعمال الأشكال والتكنولوجيات السهلة المنال والملائمة لمختلف أنواع الإعاقة في الوقت المناسب وبدون تحميل الأشخاص ذوي الإعاقة تكلفة إضافية؛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قبول وتيسير قيام الأشخاص ذوي الإعاقة في معاملتهم الرسمية باستعمال لغة الإشارة وطريقة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xml:space="preserve"> وطرق الاتصال المعززة البديلة وجميع وسائل وطرق وأشكال الاتصال الأخرى سهلة المنال التي يختارونها بأنفسهم؛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حث الكيانات الخاصة التي تقدم خدمات إلى عامة الناس، بما في ذلك عن طريق شبكة الإنترنت، على تقديم معلومات وخدمات للأشخاص ذوي الإعاقة بأشكال سهلة المنال والاستعمال؛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وسائط الإعلام الجماهيري، بما في ذلك مقدمي المعلومات عن طريق شبكة الإنترنت، على جعل خدماتها في متناول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الاعتراف بلغات الإشارة وتشجيع استخدامها</w:t>
      </w:r>
      <w:r w:rsidRPr="00443AB2">
        <w:rPr>
          <w:rFonts w:asciiTheme="minorBidi" w:eastAsia="Times New Roman" w:hAnsiTheme="minorBidi"/>
          <w:color w:val="000000" w:themeColor="text1"/>
          <w:sz w:val="32"/>
          <w:szCs w:val="32"/>
        </w:rPr>
        <w:t>.</w:t>
      </w:r>
    </w:p>
    <w:p w:rsidR="00DD2A0B" w:rsidRDefault="00DD2A0B" w:rsidP="0090070D">
      <w:pPr>
        <w:pStyle w:val="Heading3"/>
        <w:bidi/>
        <w:rPr>
          <w:rFonts w:asciiTheme="minorBidi" w:hAnsiTheme="minorBidi" w:cstheme="minorBidi"/>
          <w:color w:val="1F4E79" w:themeColor="accent1" w:themeShade="80"/>
          <w:sz w:val="32"/>
          <w:szCs w:val="32"/>
          <w:rtl/>
        </w:rPr>
      </w:pPr>
      <w:bookmarkStart w:id="23" w:name="22"/>
      <w:r w:rsidRPr="005C6F56">
        <w:rPr>
          <w:rFonts w:asciiTheme="minorBidi" w:hAnsiTheme="minorBidi" w:cstheme="minorBidi"/>
          <w:color w:val="1F4E79" w:themeColor="accent1" w:themeShade="80"/>
          <w:sz w:val="32"/>
          <w:szCs w:val="32"/>
          <w:rtl/>
        </w:rPr>
        <w:t>المادة 22- احترام الخصوصية</w:t>
      </w:r>
      <w:r w:rsidRPr="005C6F56">
        <w:rPr>
          <w:rFonts w:asciiTheme="minorBidi" w:hAnsiTheme="minorBidi" w:cstheme="minorBidi"/>
          <w:color w:val="1F4E79" w:themeColor="accent1" w:themeShade="80"/>
          <w:sz w:val="32"/>
          <w:szCs w:val="32"/>
        </w:rPr>
        <w:t xml:space="preserve"> </w:t>
      </w:r>
      <w:bookmarkEnd w:id="23"/>
    </w:p>
    <w:p w:rsidR="009730B8" w:rsidRDefault="00DD2A0B" w:rsidP="006C40F4">
      <w:pPr>
        <w:pStyle w:val="ListParagraph"/>
        <w:numPr>
          <w:ilvl w:val="0"/>
          <w:numId w:val="2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يجوز تعريض أي شخص ذي إعاقة، بصرف النظر عن مكان إقامته أو ترتيبات معيشته، لتدخل تعسفي أو غير قانوني في خصوصياته أو شؤون أسرته أو بيته أو مراسلاته أو أي نوع آخر من وسائل الاتصال التي يستعملها، ولا للتهجم غير المشروع على شرفه وسمعته. ولجميع الأشخاص ذوي الإعاقة الحق في حماية القانون لهم من أي تدخل أو تهجم من هذا القبيل</w:t>
      </w:r>
      <w:r w:rsidRPr="00443AB2">
        <w:rPr>
          <w:rFonts w:asciiTheme="minorBidi" w:eastAsia="Times New Roman" w:hAnsiTheme="minorBidi"/>
          <w:color w:val="000000" w:themeColor="text1"/>
          <w:sz w:val="32"/>
          <w:szCs w:val="32"/>
        </w:rPr>
        <w:t xml:space="preserve">. </w:t>
      </w:r>
    </w:p>
    <w:p w:rsidR="00DD2A0B" w:rsidRPr="009730B8" w:rsidRDefault="00DD2A0B" w:rsidP="006C40F4">
      <w:pPr>
        <w:pStyle w:val="ListParagraph"/>
        <w:numPr>
          <w:ilvl w:val="0"/>
          <w:numId w:val="25"/>
        </w:numPr>
        <w:bidi/>
        <w:spacing w:after="0" w:line="360" w:lineRule="auto"/>
        <w:ind w:left="270"/>
        <w:rPr>
          <w:rFonts w:asciiTheme="minorBidi" w:eastAsia="Times New Roman" w:hAnsiTheme="minorBidi"/>
          <w:color w:val="000000" w:themeColor="text1"/>
          <w:sz w:val="32"/>
          <w:szCs w:val="32"/>
        </w:rPr>
      </w:pPr>
      <w:r w:rsidRPr="009730B8">
        <w:rPr>
          <w:rFonts w:asciiTheme="minorBidi" w:eastAsia="Times New Roman" w:hAnsiTheme="minorBidi"/>
          <w:color w:val="000000" w:themeColor="text1"/>
          <w:sz w:val="32"/>
          <w:szCs w:val="32"/>
          <w:rtl/>
        </w:rPr>
        <w:t>تقوم الدول الأطراف بحماية خصوصية المعلومات المتعلقة بالشؤون الشخصية للأشخاص ذوي الإعاقة وبصحتهم وإعادة تأهيلهم على قدم المساواة مع الآخرين</w:t>
      </w:r>
      <w:r w:rsidRPr="009730B8">
        <w:rPr>
          <w:rFonts w:asciiTheme="minorBidi" w:eastAsia="Times New Roman" w:hAnsiTheme="minorBidi"/>
          <w:color w:val="000000" w:themeColor="text1"/>
          <w:sz w:val="32"/>
          <w:szCs w:val="32"/>
        </w:rPr>
        <w:t xml:space="preserve">. </w:t>
      </w:r>
    </w:p>
    <w:p w:rsidR="00DD2A0B" w:rsidRPr="009730B8" w:rsidRDefault="00DD2A0B" w:rsidP="0090070D">
      <w:pPr>
        <w:pStyle w:val="Heading3"/>
        <w:bidi/>
        <w:rPr>
          <w:rFonts w:asciiTheme="minorBidi" w:hAnsiTheme="minorBidi" w:cstheme="minorBidi"/>
          <w:color w:val="1F4E79" w:themeColor="accent1" w:themeShade="80"/>
          <w:sz w:val="32"/>
          <w:szCs w:val="32"/>
        </w:rPr>
      </w:pPr>
      <w:bookmarkStart w:id="24" w:name="23"/>
      <w:r w:rsidRPr="009730B8">
        <w:rPr>
          <w:rFonts w:asciiTheme="minorBidi" w:hAnsiTheme="minorBidi" w:cstheme="minorBidi"/>
          <w:color w:val="1F4E79" w:themeColor="accent1" w:themeShade="80"/>
          <w:sz w:val="32"/>
          <w:szCs w:val="32"/>
          <w:rtl/>
        </w:rPr>
        <w:t xml:space="preserve">المادة 23- </w:t>
      </w:r>
      <w:r w:rsidR="009730B8">
        <w:rPr>
          <w:rFonts w:asciiTheme="minorBidi" w:hAnsiTheme="minorBidi" w:cstheme="minorBidi" w:hint="cs"/>
          <w:color w:val="1F4E79" w:themeColor="accent1" w:themeShade="80"/>
          <w:sz w:val="32"/>
          <w:szCs w:val="32"/>
          <w:rtl/>
        </w:rPr>
        <w:t>ا</w:t>
      </w:r>
      <w:r w:rsidRPr="009730B8">
        <w:rPr>
          <w:rFonts w:asciiTheme="minorBidi" w:hAnsiTheme="minorBidi" w:cstheme="minorBidi"/>
          <w:color w:val="1F4E79" w:themeColor="accent1" w:themeShade="80"/>
          <w:sz w:val="32"/>
          <w:szCs w:val="32"/>
          <w:rtl/>
        </w:rPr>
        <w:t>حترام البيت والأسرة</w:t>
      </w:r>
      <w:r w:rsidRPr="009730B8">
        <w:rPr>
          <w:rFonts w:asciiTheme="minorBidi" w:hAnsiTheme="minorBidi" w:cstheme="minorBidi"/>
          <w:color w:val="1F4E79" w:themeColor="accent1" w:themeShade="80"/>
          <w:sz w:val="32"/>
          <w:szCs w:val="32"/>
        </w:rPr>
        <w:t xml:space="preserve"> </w:t>
      </w:r>
      <w:bookmarkEnd w:id="24"/>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تدابير فعالة ومناسبة للقضاء على التمييز ضد الأشخاص ذوي الإعاقة في جميع المسائل ذات الصلة بالزواج والأسرة والوالدية والعلاقات، وعلى قدم المساواة مع الآخرين، وذلك من أجل كفالة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حق جميع الأشخاص ذوي الإعاقة الذين هم في سن الزواج في التزوج وتأسيس أسرة برضا معتـزمي الزواج رضا تاماً لا إكراه فيه؛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الاعتراف بحقوق الأشخاص ذوي الإعاقة في اتخاذ قرار حر ومسؤول بشأن عدد الأطفال الذين يودون إنجابهم وفترة التباعد بينهم وفي الحصول على المعلومات والتثقيف في مجالي الصحة الإنجابية وتنظيم الأسرة بما يتناسب مع سنهم، وتوفير الوسائل الضرورية لتمكينهم من ممارسة هذه الحقوق؛</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حق الأشخاص ذوي الإعاقة، بما في ذلك الأطفال، في الحفاظ على خصوبتهم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حقوق الأشخاص ذوي الإعاقة ومسؤولياتهم فيما يتعلق بالقوامة على الأطفال أو كفالتهم أو الوصاية عليهم أو تبنيهم أو أية أعراف مماثلة، حيثما ترد هذه المفاهيم في التشريعات الوطنية، وفي جميع الحالات ترجح مصالح الطفل الفُضلى. وتقدم الدول الأطراف المساعدات المناسبة للأشخاص ذوي الإعاقة لتمكينهم من الاضطلاع بمسؤولياتهم في تنشئة الأطفال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للأطفال ذوي الإعاقة حقوقا متساوية فيما يتعلق بالحياة الأسرية. وبُغية إعمال هذا الحق ومنع إخفاء الأطفال ذوي الإعاقة وهجرهم وإهمالهم وعزلهم، تتعهد الدول الأطراف بأن توفر، في مرحلة مبكرة، معلومات وخدمات ومساعدات شاملة للأطفال ذوي الإعاقة ولأسرهم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عدم فصل أي طفل عن أبويه رغما عنهما، إلا إذا قررت سلطات مختصة، رهنا بمراجعة قضائية، ووفقا للقوانين والإجراءات الوطنية السارية عموما، أن هذا الفصل ضروري لمصلحة الطفل الفُضلى. ولا يجوز بحال من الأحوال أن يُفصل الطفل عن أبويه بسبب إعاقة للطفل أو أحد الأبوين أو كليهما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تتعهد الدول الأطراف في حالة عدم قدرة الأسرة المباشرة لطفل ذي إعاقة على رعايته بأن تبذل قصارى جهودها لتوفير رعاية بديلة له داخل أسرته الكبرى، وإن لم يتيسر ذلك فداخل المجتمع المحلي وفي جو أسري</w:t>
      </w:r>
      <w:r w:rsidRPr="00443AB2">
        <w:rPr>
          <w:rFonts w:asciiTheme="minorBidi" w:eastAsia="Times New Roman" w:hAnsiTheme="minorBidi"/>
          <w:color w:val="000000" w:themeColor="text1"/>
          <w:sz w:val="32"/>
          <w:szCs w:val="32"/>
        </w:rPr>
        <w:t xml:space="preserve">. </w:t>
      </w:r>
    </w:p>
    <w:p w:rsidR="00DD2A0B" w:rsidRPr="009730B8" w:rsidRDefault="00DD2A0B" w:rsidP="0090070D">
      <w:pPr>
        <w:pStyle w:val="Heading3"/>
        <w:bidi/>
        <w:rPr>
          <w:rFonts w:asciiTheme="minorBidi" w:hAnsiTheme="minorBidi" w:cstheme="minorBidi"/>
          <w:color w:val="1F4E79" w:themeColor="accent1" w:themeShade="80"/>
          <w:sz w:val="32"/>
          <w:szCs w:val="32"/>
        </w:rPr>
      </w:pPr>
      <w:r w:rsidRPr="009730B8">
        <w:rPr>
          <w:rFonts w:asciiTheme="minorBidi" w:hAnsiTheme="minorBidi" w:cstheme="minorBidi"/>
          <w:color w:val="1F4E79" w:themeColor="accent1" w:themeShade="80"/>
          <w:sz w:val="32"/>
          <w:szCs w:val="32"/>
          <w:rtl/>
        </w:rPr>
        <w:t>المادة 24- التعليم</w:t>
      </w:r>
      <w:r w:rsidRPr="009730B8">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تسلّم الدول الأطراف بحق الأشخاص ذوي الإعاقة في التعليم. ولإعمال هذا الحق دون تمييز وعلى أساس تكافؤ الفرص، تكفل الدول الأطراف نظاما تعليميا جامعا على جميع المستويات وتعلما مدى الحياة موجهين نحو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التنمية الكاملة للطاقات الإنسانية الكامنة والشعور بالكرامة وتقدير الذات، وتعزيز احترام حقوق الإنسان والحريات الأساسية والتنوع البشري؛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تنمية شخصية الأشخاص ذوي الإعاقة ومواهبهم وإبداعهم، فضلا عن قدراتهم العقلية والبدنية، للوصول بها إلى أقصى مدى؛</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 الأشخاص ذوي الإعاقة من المشاركة الفعالة في مجتمع حُر</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تحرص الدول الأطراف في إعمالها هذا الحق على كفالة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استبعاد الأشخاص ذوي الإعاقة من النظام التعليمي العام على أساس الإعاقة، وعدم استبعاد الأطفال ذوي الإعاقة من التعليم الابتدائي أو الثانوي المجاني والإلزامي على أساس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 الأشخاص ذوي الإعاقة من الحصول على التعليم المجاني الابتدائي والثانوي، الجيد والجامع، على قدم المساواة مع الآخرين في المجتمعات التي يعيشون فيها؛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مراعاة الاحتياجات الفردية بصورة معقولة؛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حصول الأشخاص ذوي الإعاقة على الدعم اللازم في نطاق نظام التعليم العام لتيسير حصولهم على تعليم فعال؛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تدابير دعم فردية فعالة في بيئات تسمح بتحقيق أقصى قدر من النمو الأكاديمي والاجتماعي، وتتفق مع هدف الإدماج الكامل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تمكن الدول الأشخاص ذوي الإعاقة من تعلم مهارات حياتية ومهارات في مجال التنمية الاجتماعية لتيسير مشاركتهم الكاملة في التعليم على قدم المساواة مع آخرين بوصفهم أعضاء في المجتمع. وتحقيقا لهذه الغاية، تتخذ الدول الأطراف تدابير مناسبة تشمل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تيسير تعلم 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xml:space="preserve"> وأنواع الكتابة البديلة، وطرق ووسائل وأشكال الاتصال المعززة والبديلة، ومهارات التوجيه والتنقل، وتيسير الدعم والتوجيه عن طريق الأقران؛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تيسير تعلم لغة الإشارة وتشجيع الهوية اللغوية لفئة الصُم؛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توفير التعليم للمكفوفين والصُم أو الصُم المكفوفين، وخاصة الأطفال منهم، بأنسب اللغات وطرق ووسائل الاتصال للأشخاص المعنيين، وفي بيئات تسمح بتحقيق أقصى قدر من النمو الأكاديمي والاجتماعي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وضمانا لإعمال هذا الحق، تتخذ الدول الأطراف التدابير المناسبة لتوظيف مدرسين، بمن فيهم مدرسون ذوو إعاقة يتقنون لغة الإشارة و/أو 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ولتدريب الأخصائيين والموظفين العاملين في جميع مستويات التعليم. ويشمل هذا التدريب التوعية بالإعاقة واستعمال طرق ووسائل وأشكال الاتصال المعززة والبديلة المناسبة، والتقنيات والمواد التعليمية لمساعدة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تكفل الدول الأطراف إمكانية حصول الأشخاص ذوي الإعاقة على التعليم العالي والتدريب المهني وتعليم الكبار والتعليم مدى الحياة دون تمييز وعلى قدم المساواة مع آخرين. وتحقيقا لهذه الغاية، تكفل الدول الأطراف توفير الترتيبات </w:t>
      </w:r>
      <w:proofErr w:type="spellStart"/>
      <w:r w:rsidRPr="00443AB2">
        <w:rPr>
          <w:rFonts w:asciiTheme="minorBidi" w:eastAsia="Times New Roman" w:hAnsiTheme="minorBidi"/>
          <w:color w:val="000000" w:themeColor="text1"/>
          <w:sz w:val="32"/>
          <w:szCs w:val="32"/>
          <w:rtl/>
        </w:rPr>
        <w:t>التيسيرية</w:t>
      </w:r>
      <w:proofErr w:type="spellEnd"/>
      <w:r w:rsidRPr="00443AB2">
        <w:rPr>
          <w:rFonts w:asciiTheme="minorBidi" w:eastAsia="Times New Roman" w:hAnsiTheme="minorBidi"/>
          <w:color w:val="000000" w:themeColor="text1"/>
          <w:sz w:val="32"/>
          <w:szCs w:val="32"/>
          <w:rtl/>
        </w:rPr>
        <w:t xml:space="preserve"> المعقولة للأشخاص ذوي الإعاقة</w:t>
      </w:r>
      <w:r w:rsidRPr="00443AB2">
        <w:rPr>
          <w:rFonts w:asciiTheme="minorBidi" w:eastAsia="Times New Roman" w:hAnsiTheme="minorBidi"/>
          <w:color w:val="000000" w:themeColor="text1"/>
          <w:sz w:val="32"/>
          <w:szCs w:val="32"/>
        </w:rPr>
        <w:t xml:space="preserve">. </w:t>
      </w:r>
    </w:p>
    <w:p w:rsidR="00DD2A0B" w:rsidRPr="009730B8" w:rsidRDefault="00DD2A0B" w:rsidP="0090070D">
      <w:pPr>
        <w:pStyle w:val="Heading3"/>
        <w:bidi/>
        <w:rPr>
          <w:rFonts w:asciiTheme="minorBidi" w:hAnsiTheme="minorBidi" w:cstheme="minorBidi"/>
          <w:color w:val="1F4E79" w:themeColor="accent1" w:themeShade="80"/>
          <w:sz w:val="32"/>
          <w:szCs w:val="32"/>
        </w:rPr>
      </w:pPr>
      <w:bookmarkStart w:id="25" w:name="25"/>
      <w:r w:rsidRPr="009730B8">
        <w:rPr>
          <w:rFonts w:asciiTheme="minorBidi" w:hAnsiTheme="minorBidi" w:cstheme="minorBidi"/>
          <w:color w:val="1F4E79" w:themeColor="accent1" w:themeShade="80"/>
          <w:sz w:val="32"/>
          <w:szCs w:val="32"/>
          <w:rtl/>
        </w:rPr>
        <w:t>المادة 25- الصحة</w:t>
      </w:r>
      <w:r w:rsidRPr="009730B8">
        <w:rPr>
          <w:rFonts w:asciiTheme="minorBidi" w:hAnsiTheme="minorBidi" w:cstheme="minorBidi"/>
          <w:color w:val="1F4E79" w:themeColor="accent1" w:themeShade="80"/>
          <w:sz w:val="32"/>
          <w:szCs w:val="32"/>
        </w:rPr>
        <w:t xml:space="preserve"> </w:t>
      </w:r>
      <w:bookmarkEnd w:id="25"/>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تعترف الدول الأطراف بـأن للأشخاص ذوي الإعاقة الحق في التمتع بأعلى مستويات الصحة دون تمييز على أساس الإعاقة. وتتخذ الدول الأطراف كل التدابير المناسبة الكفيلة بحصول الأشخاص ذوي الإعاقة على خدمات صحية تراعي الفروق بين الجنسين، بما في ذلك خدمات إعادة التأهيل الصحي. وتعمل الدول الأطراف بوجه خاص على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رعاية وبرامج صحية مجانية أو معقولة التكلفة للأشخاص ذوي الإعاقة تعادل في نطاقها ونوعيتها ومعاييرها تلك التي توفرها للآخرين، بما في ذلك خدمات الصحة الجنسية والإنجابية وبرامج الصحة العامة للسكان؛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ما يحتاج إليه الأشخاص ذوو الإعاقة تحديدا بسبب إعاقتهم من خدمات صحية، تشمل الكشف المبكر والتدخل عند الاقتضاء، وخدمات تهدف إلى التقليل إلى أدنى حد من الإعاقات ومنع حدوث المزيد منها، على أن يشمل ذلك الأطفال وكبار السن؛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هذه الخدمات الصحية في أقرب مكان ممكن من مجتمعاتهم المحلية، بما في ذلك في المناطق الريفية؛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الطلب إلى مزاولي المهن الصحية تقديم رعاية إلى الأشخاص ذوي الإعاقة بنفس جودة الرعاية التي يقدمونها إلى الآخرين، بما في ذلك تقديم هذه الرعاية على أساس الموافقة الحرة والمستنيرة، من خلال القيام بجملة أمور منها زيادة الوعي بحقوق الإنسان المكفولة للأشخاص ذوي الإعاقة وكرامتهم واستقلالهم الذاتي واحتياجاتهم من خلال توفير التدريب لهم ونشر معايير أخلاقية تتعلق بالرعاية الصحية في القطاعين العام والخاص؛</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حظر التمييز ضد الأشخاص ذوي الإعاقة في توفير التأمين الصحي، والتأمين على الحياة حيثما يسمح القانون الوطني بذلك، على أن يوفر بطريقة منصفة ومعقولة؛</w:t>
      </w:r>
      <w:r w:rsidRPr="00443AB2">
        <w:rPr>
          <w:rFonts w:asciiTheme="minorBidi" w:eastAsia="Times New Roman" w:hAnsiTheme="minorBidi"/>
          <w:color w:val="000000" w:themeColor="text1"/>
          <w:sz w:val="32"/>
          <w:szCs w:val="32"/>
        </w:rPr>
        <w:t xml:space="preserve"> </w:t>
      </w:r>
    </w:p>
    <w:p w:rsidR="009730B8"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منع الحرمان على أساس التمييز من الرعاية الصحية أو الخدمات الصحية أو الغذاء والسوائل بسبب الإعاقة</w:t>
      </w:r>
      <w:r w:rsidRPr="00443AB2">
        <w:rPr>
          <w:rFonts w:asciiTheme="minorBidi" w:eastAsia="Times New Roman" w:hAnsiTheme="minorBidi"/>
          <w:color w:val="000000" w:themeColor="text1"/>
          <w:sz w:val="32"/>
          <w:szCs w:val="32"/>
        </w:rPr>
        <w:t xml:space="preserve">. </w:t>
      </w:r>
    </w:p>
    <w:p w:rsidR="009730B8" w:rsidRDefault="009730B8" w:rsidP="0090070D">
      <w:pPr>
        <w:bidi/>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Pr>
        <w:br w:type="page"/>
      </w:r>
    </w:p>
    <w:p w:rsidR="00DD2A0B" w:rsidRPr="009730B8" w:rsidRDefault="00DD2A0B" w:rsidP="0090070D">
      <w:pPr>
        <w:pStyle w:val="Heading3"/>
        <w:bidi/>
        <w:rPr>
          <w:rFonts w:asciiTheme="minorBidi" w:hAnsiTheme="minorBidi" w:cstheme="minorBidi"/>
          <w:color w:val="1F4E79" w:themeColor="accent1" w:themeShade="80"/>
          <w:sz w:val="32"/>
          <w:szCs w:val="32"/>
        </w:rPr>
      </w:pPr>
      <w:bookmarkStart w:id="26" w:name="26"/>
      <w:r w:rsidRPr="009730B8">
        <w:rPr>
          <w:rFonts w:asciiTheme="minorBidi" w:hAnsiTheme="minorBidi" w:cstheme="minorBidi"/>
          <w:color w:val="1F4E79" w:themeColor="accent1" w:themeShade="80"/>
          <w:sz w:val="32"/>
          <w:szCs w:val="32"/>
          <w:rtl/>
        </w:rPr>
        <w:t>المادة 26- التأهيل وإعادة التأهيل</w:t>
      </w:r>
      <w:bookmarkEnd w:id="26"/>
    </w:p>
    <w:p w:rsidR="00DD2A0B" w:rsidRPr="00443AB2" w:rsidRDefault="00DD2A0B" w:rsidP="006C40F4">
      <w:pPr>
        <w:pStyle w:val="ListParagraph"/>
        <w:numPr>
          <w:ilvl w:val="0"/>
          <w:numId w:val="33"/>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تدابير فعالة ومناسبة، بما في ذلك عن طريق دعم الأقران، لتمكين الأشخاص ذوي الإعاقة من بلوغ أقصى قدر من الاستقلالية والمحافظة عليها، وتحقيق إمكاناتهم البدنية والعقلية والاجتماعية والمهنية على الوجه الأكمل، وكفالة إشراكهم ومشاركتهم بشكل تام في جميع نواحي الحياة. وتحقيقا لتلك الغاية، تقوم الدول الأطراف بتوفير خدمات وبرامج شاملة للتأهيل وإعادة التأهيل وتعزيزها وتوسيع نطاقها، وبخاصة في مجالات الصحة والعمل والتعليم والخدمات الاجتماعية، على نحو يجعل هذه الخدمات والبرامج</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تبدأ في أقرب مرحلة قدر الإمكان، وتستند إلى تقييم متعدد التخصصات لاحتياجات كل فرد ومَواطن قوته على حدة؛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تدعم إشراك الأشخاص ذوي الإعاقة ومشاركتهم في المجتمع المحلي وفي جميع نواحي المجتمع، وأن تتاح للأشخاص ذوي الإعاقة على أساس طوعي وفي أقرب مكان ممكن للمجتمعات المحلية، بما في ذلك في المناطق الريفية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3"/>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تشجع الدول الأطراف على وضع برامج التدريب الأولي والمستمر للأخصائيين والموظفين العاملين في مجال تقديم خدمات التأهيل وإعادة التأهيل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3"/>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تشجع الدول الأطراف توفر ومعرفة واستخدام الأجهزة والتقنيات المُعِينة، المصممة للأشخاص ذوي الإعاقة، حسب صلتها بالتأهيل وإعادة التأهيل</w:t>
      </w:r>
      <w:r w:rsidRPr="00443AB2">
        <w:rPr>
          <w:rFonts w:asciiTheme="minorBidi" w:eastAsia="Times New Roman" w:hAnsiTheme="minorBidi"/>
          <w:color w:val="000000" w:themeColor="text1"/>
          <w:sz w:val="32"/>
          <w:szCs w:val="32"/>
        </w:rPr>
        <w:t xml:space="preserve">. </w:t>
      </w:r>
    </w:p>
    <w:p w:rsidR="00DD2A0B" w:rsidRPr="00C57397" w:rsidRDefault="00DD2A0B" w:rsidP="0090070D">
      <w:pPr>
        <w:pStyle w:val="Heading3"/>
        <w:bidi/>
        <w:rPr>
          <w:rFonts w:asciiTheme="minorBidi" w:hAnsiTheme="minorBidi" w:cstheme="minorBidi"/>
          <w:color w:val="1F4E79" w:themeColor="accent1" w:themeShade="80"/>
          <w:sz w:val="32"/>
          <w:szCs w:val="32"/>
        </w:rPr>
      </w:pPr>
      <w:bookmarkStart w:id="27" w:name="27"/>
      <w:r w:rsidRPr="00C57397">
        <w:rPr>
          <w:rFonts w:asciiTheme="minorBidi" w:hAnsiTheme="minorBidi" w:cstheme="minorBidi"/>
          <w:color w:val="1F4E79" w:themeColor="accent1" w:themeShade="80"/>
          <w:sz w:val="32"/>
          <w:szCs w:val="32"/>
          <w:rtl/>
        </w:rPr>
        <w:t>المادة 27- العمل والعمالة</w:t>
      </w:r>
      <w:r w:rsidRPr="00C57397">
        <w:rPr>
          <w:rFonts w:asciiTheme="minorBidi" w:hAnsiTheme="minorBidi" w:cstheme="minorBidi"/>
          <w:color w:val="1F4E79" w:themeColor="accent1" w:themeShade="80"/>
          <w:sz w:val="32"/>
          <w:szCs w:val="32"/>
        </w:rPr>
        <w:t xml:space="preserve"> </w:t>
      </w:r>
      <w:bookmarkEnd w:id="27"/>
    </w:p>
    <w:p w:rsidR="00DD2A0B" w:rsidRPr="00443AB2" w:rsidRDefault="00DD2A0B" w:rsidP="006C40F4">
      <w:pPr>
        <w:pStyle w:val="ListParagraph"/>
        <w:numPr>
          <w:ilvl w:val="0"/>
          <w:numId w:val="34"/>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تعترف الدول الأطراف بحق الأشخاص ذوي الإعاقة في العمل، على قدم المساواة مع الآخرين؛ ويشمل هذا الحق إتاحة الفرصة لهم لكسب الرزق في عمل يختارونه</w:t>
      </w: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أو يقبلونه بحرية في سوق عمل وبيئة عمل منفتحتين أمام الأشخاص ذوي الإعاقة وشاملتين لهم ويسهل انخراطهم فيهما. وتحمي الدول الأطراف إعمال الحق في العمل وتعززه، بما في ذلك حق أولئك الذين تصيبهم الإعاقة خلال عملهم، وذلك عن طريق اتخاذ الخطوات المناسبة، بما في ذلك سن التشريعات، لتحقيق عدة أهداف منها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حظر التمييز على أساس الإعاقة فيما يختص بجميع المسائل المتعلقة بكافة أشكال العمالة، ومنها شروط التوظيف والتعيين والعمل، واستمرار العمل، والتقدم الوظيفي، وظروف العمل الآمنة والصحية؛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حماية حقوق الأشخاص ذوي الإعاقة في ظروف عمل عادلة وملائمة، على قدم المساواة مع الآخرين، بما في ذلك تكافؤ الفرص وتقاضي أجر متساو لقاء القيام بعمل متساوي القيمة، وظروف العمل المأمونة والصحية، بما في ذلك الحماية من التحرش، والانتصاف من المظالم؛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تمكين الأشخاص ذوي الإعاقة من ممارسة حقوقهم العُمالية والنقابية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 الأشخاص ذوي الإعاقة من الحصول بصورة فعالة على البرامج العامة للتوجيه التقني والمهني، وخدمات التوظيف، والتدريب المهني والمستمر؛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فرص العمل والتقدم الوظيفي للأشخاص ذوي الإعاقة في سوق العمل، فضلا عن تقديم المساعدة على إيجاد العمل والحصول عليه والمداومة عليه والعودة إليه؛</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فرص العمل الحرّ، ومباشرة الأعمال الحرة، وتكوين التعاونيات، والشروع في الأعمال التجارية الخاصة؛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تشغيل الأشخاص ذوي الإعاقة في القطاع العام؛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عمالة الأشخاص ذوي الإعاقة في القطاع الخاص من خلال انتهاج سياسات واتخاذ تدابير مناسبة، قد تشمل البرامج التصحيحية، والحوافز، وغير ذلك من التدابير؛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كفالة توفير ترتيبات </w:t>
      </w:r>
      <w:proofErr w:type="spellStart"/>
      <w:r w:rsidRPr="00443AB2">
        <w:rPr>
          <w:rFonts w:asciiTheme="minorBidi" w:eastAsia="Times New Roman" w:hAnsiTheme="minorBidi"/>
          <w:color w:val="000000" w:themeColor="text1"/>
          <w:sz w:val="32"/>
          <w:szCs w:val="32"/>
          <w:rtl/>
        </w:rPr>
        <w:t>تيسيرية</w:t>
      </w:r>
      <w:proofErr w:type="spellEnd"/>
      <w:r w:rsidRPr="00443AB2">
        <w:rPr>
          <w:rFonts w:asciiTheme="minorBidi" w:eastAsia="Times New Roman" w:hAnsiTheme="minorBidi"/>
          <w:color w:val="000000" w:themeColor="text1"/>
          <w:sz w:val="32"/>
          <w:szCs w:val="32"/>
          <w:rtl/>
        </w:rPr>
        <w:t xml:space="preserve"> معقولة للأشخاص ذوي الإعاقة في أماكن العمل؛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اكتساب الأشخاص ذوي الإعاقة للخبرات المهنية في سوق العمل المفتوحة؛</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برامج إعادة التأهيل المهني والوظيفي، والاحتفاظ بالوظائف، والعودة إلى العمل لصالح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4"/>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عدم إخضاع الأشخاص ذوي الإعاقة للرق أو العبودية، وحمايتهم على قدم المساواة مع الآخرين، من العمل الجبري أو القسري</w:t>
      </w:r>
      <w:r w:rsidRPr="00443AB2">
        <w:rPr>
          <w:rFonts w:asciiTheme="minorBidi" w:eastAsia="Times New Roman" w:hAnsiTheme="minorBidi"/>
          <w:color w:val="000000" w:themeColor="text1"/>
          <w:sz w:val="32"/>
          <w:szCs w:val="32"/>
        </w:rPr>
        <w:t xml:space="preserve">. </w:t>
      </w:r>
    </w:p>
    <w:p w:rsidR="00DD2A0B" w:rsidRPr="00C57397" w:rsidRDefault="00DD2A0B" w:rsidP="0090070D">
      <w:pPr>
        <w:pStyle w:val="Heading3"/>
        <w:bidi/>
        <w:rPr>
          <w:rFonts w:asciiTheme="minorBidi" w:hAnsiTheme="minorBidi" w:cstheme="minorBidi"/>
          <w:color w:val="1F4E79" w:themeColor="accent1" w:themeShade="80"/>
          <w:sz w:val="32"/>
          <w:szCs w:val="32"/>
        </w:rPr>
      </w:pPr>
      <w:bookmarkStart w:id="28" w:name="28"/>
      <w:r w:rsidRPr="00C57397">
        <w:rPr>
          <w:rFonts w:asciiTheme="minorBidi" w:hAnsiTheme="minorBidi" w:cstheme="minorBidi"/>
          <w:color w:val="1F4E79" w:themeColor="accent1" w:themeShade="80"/>
          <w:sz w:val="32"/>
          <w:szCs w:val="32"/>
          <w:rtl/>
        </w:rPr>
        <w:t>المادة 28- مستوى المعيشة اللائق والحماية الاجتماعية</w:t>
      </w:r>
      <w:r w:rsidRPr="00C57397">
        <w:rPr>
          <w:rFonts w:asciiTheme="minorBidi" w:hAnsiTheme="minorBidi" w:cstheme="minorBidi"/>
          <w:color w:val="1F4E79" w:themeColor="accent1" w:themeShade="80"/>
          <w:sz w:val="32"/>
          <w:szCs w:val="32"/>
        </w:rPr>
        <w:t xml:space="preserve"> </w:t>
      </w:r>
      <w:bookmarkEnd w:id="28"/>
    </w:p>
    <w:p w:rsidR="00C57397" w:rsidRDefault="00DD2A0B" w:rsidP="006C40F4">
      <w:pPr>
        <w:pStyle w:val="ListParagraph"/>
        <w:numPr>
          <w:ilvl w:val="0"/>
          <w:numId w:val="3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تعترف الدول الأطراف بحق الأشخاص ذوي الإعاقة في التمتع بمستوى معيشي لائق لهم ولأسرهم، بما في ذلك ما يكفيهم من الغذاء والملبس والمسكن، وفي مواصلة تحسين ظروف معيشتهم، وتتخذ الخطوات المناسبة لصون هذا الحق وتعزيز إعماله دون تمييز على أساس الإعاقة</w:t>
      </w:r>
      <w:r w:rsidRPr="00443AB2">
        <w:rPr>
          <w:rFonts w:asciiTheme="minorBidi" w:eastAsia="Times New Roman" w:hAnsiTheme="minorBidi"/>
          <w:color w:val="000000" w:themeColor="text1"/>
          <w:sz w:val="32"/>
          <w:szCs w:val="32"/>
        </w:rPr>
        <w:t xml:space="preserve">. </w:t>
      </w:r>
    </w:p>
    <w:p w:rsidR="00DD2A0B" w:rsidRPr="00C57397" w:rsidRDefault="00DD2A0B" w:rsidP="006C40F4">
      <w:pPr>
        <w:pStyle w:val="ListParagraph"/>
        <w:numPr>
          <w:ilvl w:val="0"/>
          <w:numId w:val="36"/>
        </w:numPr>
        <w:bidi/>
        <w:spacing w:after="0" w:line="360" w:lineRule="auto"/>
        <w:ind w:left="270"/>
        <w:rPr>
          <w:rFonts w:asciiTheme="minorBidi" w:eastAsia="Times New Roman" w:hAnsiTheme="minorBidi"/>
          <w:color w:val="000000" w:themeColor="text1"/>
          <w:sz w:val="32"/>
          <w:szCs w:val="32"/>
        </w:rPr>
      </w:pPr>
      <w:r w:rsidRPr="00C57397">
        <w:rPr>
          <w:rFonts w:asciiTheme="minorBidi" w:eastAsia="Times New Roman" w:hAnsiTheme="minorBidi"/>
          <w:color w:val="000000" w:themeColor="text1"/>
          <w:sz w:val="32"/>
          <w:szCs w:val="32"/>
          <w:rtl/>
        </w:rPr>
        <w:t>تقر الدول الأطراف بحق الأشخاص ذوي الإعاقة في الحماية الاجتماعية، والتمتع بهذا الحق دون تمييز بسبب الإعاقة، وتتخذ الخطوات المناسبة لصون هذا الحق وتعزيز إعماله، بما في ذلك تدابير ترمي إلى</w:t>
      </w:r>
      <w:r w:rsidRPr="00C57397">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مساواة الأشخاص ذوي الإعاقة مع الآخرين في فرص الحصول على المياه النقية، وضمان حصولهم على الخدمات والأجهزة المناسبة ذات الأسعار المعقولة، وغير ذلك من المساعدات لتلبية الاحتياجات المرتبطة بالإعاقة؛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خصوصا النساء والفتيات وكبار السن، من برامج الحماية الاجتماعية وبرامج الحد من الفقر؛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الذين يعيشون في حالة فقر وأسرهم من المساعدة التي تقدمها الدولة لتغطية النفقات المتعلقة بالإعاقة، بما فيها التدريب المناسب وإسداء المشورة والمساعدة المالية والرعاية المؤقتة؛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من برامج الإسكان العام؛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على قدم المساواة مع الآخرين، من استحقاقات وبرامج التقاعد</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29" w:name="29"/>
      <w:r w:rsidRPr="00A53452">
        <w:rPr>
          <w:rFonts w:asciiTheme="minorBidi" w:hAnsiTheme="minorBidi" w:cstheme="minorBidi"/>
          <w:color w:val="1F4E79" w:themeColor="accent1" w:themeShade="80"/>
          <w:sz w:val="32"/>
          <w:szCs w:val="32"/>
          <w:rtl/>
        </w:rPr>
        <w:t>المادة 29- المشاركة في الحياة السياسية والعامة</w:t>
      </w:r>
      <w:r w:rsidRPr="00A53452">
        <w:rPr>
          <w:rFonts w:asciiTheme="minorBidi" w:hAnsiTheme="minorBidi" w:cstheme="minorBidi"/>
          <w:color w:val="1F4E79" w:themeColor="accent1" w:themeShade="80"/>
          <w:sz w:val="32"/>
          <w:szCs w:val="32"/>
        </w:rPr>
        <w:t xml:space="preserve"> </w:t>
      </w:r>
      <w:bookmarkEnd w:id="29"/>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تضمن الدول الأطراف للأشخاص ذوي الإعاقة الحقوق السياسية وفرصة التمتع بها على أساس المساواة مع الآخرين، وتتعهد بما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أن تكفل للأشخاص ذوي الإعاقة إمكانية المشاركة بصورة فعالة وكاملة في الحياة السياسية والعامة على قدم المساواة مع الآخرين، إما مباشرة وإما عن طريق ممثلين يختارونهم بحرية، بما في ذلك كفالة الحق والفرصة للأشخاص ذوي الإعاقة كي يصوتوا ويُنتَخبوا، وذلك بعدة سبل منها</w:t>
      </w:r>
      <w:r w:rsidRPr="00443AB2">
        <w:rPr>
          <w:rFonts w:asciiTheme="minorBidi" w:eastAsia="Times New Roman" w:hAnsiTheme="minorBidi"/>
          <w:color w:val="000000" w:themeColor="text1"/>
          <w:sz w:val="32"/>
          <w:szCs w:val="32"/>
        </w:rPr>
        <w:t xml:space="preserve">: </w:t>
      </w:r>
    </w:p>
    <w:p w:rsidR="00DD2A0B" w:rsidRPr="00546E78" w:rsidRDefault="00DD2A0B" w:rsidP="006C40F4">
      <w:pPr>
        <w:pStyle w:val="ListParagraph"/>
        <w:numPr>
          <w:ilvl w:val="0"/>
          <w:numId w:val="40"/>
        </w:numPr>
        <w:bidi/>
        <w:spacing w:after="0" w:line="360" w:lineRule="auto"/>
        <w:rPr>
          <w:rFonts w:asciiTheme="minorBidi" w:eastAsia="Times New Roman" w:hAnsiTheme="minorBidi"/>
          <w:color w:val="000000" w:themeColor="text1"/>
          <w:sz w:val="32"/>
          <w:szCs w:val="32"/>
        </w:rPr>
      </w:pPr>
      <w:r w:rsidRPr="00546E78">
        <w:rPr>
          <w:rFonts w:asciiTheme="minorBidi" w:eastAsia="Times New Roman" w:hAnsiTheme="minorBidi"/>
          <w:color w:val="000000" w:themeColor="text1"/>
          <w:sz w:val="32"/>
          <w:szCs w:val="32"/>
          <w:rtl/>
        </w:rPr>
        <w:t>كفالة أن تكون إجراءات التصويت ومرافقه ومواده مناسبة وميسرة وسهلة الفهم والاستعمال؛</w:t>
      </w:r>
    </w:p>
    <w:p w:rsidR="00DD2A0B" w:rsidRPr="00443AB2" w:rsidRDefault="00DD2A0B" w:rsidP="006C40F4">
      <w:pPr>
        <w:pStyle w:val="ListParagraph"/>
        <w:numPr>
          <w:ilvl w:val="0"/>
          <w:numId w:val="4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حماية حق الأشخاص ذوي الإعاقة في التصويت عن طريق الاقتراع السري في الانتخابات والاستفتاءات العامة دون ترهيب، وفي الترشح للانتخابات والتقلد الفعلي للمناصب وأداء جميع المهام العامة في الحكومة على شتى المستويات، وتسهيل استخدام التكنولوجيا المُعِينة والجديدة حيثما اقتضى الأمر ذلك؛</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حرية تعبير الأشخاص ذوي الإعاقة عن إرادتهم كناخبين، والسماح لهم، عند الاقتضاء، تحقيقا لهذه الغاية، باختيار شخص يساعدهم على التصويت؛</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أن تعمل على نحو فعال من أجل تهيئة بيئة يتسنى فيها للأشخاص ذوي الإعاقة أن يشاركوا مشاركة فعلية وكاملة في تسيير الشؤون العامة، دون تمييز وعلى قدم المساواة مع الآخرين، وأن تشجع مشاركتهم في الشؤون العامة، بما في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المشاركة في المنظمات والرابطات غير الحكومية المعنية بحياة البلد العامة والسياسية، بما في ذلك أنشطة الأحزاب السياسية وإدارة شؤونها؛</w:t>
      </w:r>
      <w:r w:rsidRPr="00443AB2">
        <w:rPr>
          <w:rFonts w:asciiTheme="minorBidi" w:eastAsia="Times New Roman" w:hAnsiTheme="minorBidi"/>
          <w:color w:val="000000" w:themeColor="text1"/>
          <w:sz w:val="32"/>
          <w:szCs w:val="32"/>
        </w:rPr>
        <w:t xml:space="preserve"> </w:t>
      </w:r>
    </w:p>
    <w:p w:rsidR="00546E78" w:rsidRDefault="00DD2A0B" w:rsidP="006C40F4">
      <w:pPr>
        <w:pStyle w:val="ListParagraph"/>
        <w:numPr>
          <w:ilvl w:val="0"/>
          <w:numId w:val="4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إنشاء منظمات الأشخاص ذوي الإعاقة والانضمام إليها كي تتولى تمثيلهم على كل من الصعيد الوطني والإقليمي والمحلي؛</w:t>
      </w:r>
      <w:r w:rsidRPr="00443AB2">
        <w:rPr>
          <w:rFonts w:asciiTheme="minorBidi" w:eastAsia="Times New Roman" w:hAnsiTheme="minorBidi"/>
          <w:color w:val="000000" w:themeColor="text1"/>
          <w:sz w:val="32"/>
          <w:szCs w:val="32"/>
        </w:rPr>
        <w:t xml:space="preserve"> </w:t>
      </w:r>
    </w:p>
    <w:p w:rsidR="00546E78" w:rsidRDefault="00546E78" w:rsidP="0090070D">
      <w:pPr>
        <w:bidi/>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Pr>
        <w:br w:type="page"/>
      </w:r>
    </w:p>
    <w:p w:rsidR="00546E78" w:rsidRDefault="00DD2A0B" w:rsidP="0090070D">
      <w:pPr>
        <w:pStyle w:val="Heading3"/>
        <w:bidi/>
        <w:rPr>
          <w:rFonts w:asciiTheme="minorBidi" w:hAnsiTheme="minorBidi" w:cstheme="minorBidi"/>
          <w:color w:val="1F4E79" w:themeColor="accent1" w:themeShade="80"/>
          <w:sz w:val="32"/>
          <w:szCs w:val="32"/>
        </w:rPr>
      </w:pPr>
      <w:bookmarkStart w:id="30" w:name="30"/>
      <w:r w:rsidRPr="00A53452">
        <w:rPr>
          <w:rFonts w:asciiTheme="minorBidi" w:hAnsiTheme="minorBidi" w:cstheme="minorBidi"/>
          <w:color w:val="1F4E79" w:themeColor="accent1" w:themeShade="80"/>
          <w:sz w:val="32"/>
          <w:szCs w:val="32"/>
          <w:rtl/>
        </w:rPr>
        <w:t>المادة 30- المشاركة في الحياة الثقافية وأنشطة الترفيه والتسلية والرياضة</w:t>
      </w:r>
    </w:p>
    <w:bookmarkEnd w:id="30"/>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بحق الأشخاص ذوي الإعاقة في المشاركة في الحياة الثقافية على قدم المساواة مع الآخرين، وتتخذ كل التدابير المناسبة لكي تكفل للأشخاص ذوي الإعاقة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بالمواد الثقافية بأشكال ميسَّرة؛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بالبرامج التلفزيونية والأفلام والعروض المسرحية وسائر الأنشطة الثقافية بأشكال ميسَّرة؛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بدخول الأماكن المخصصة للعروض أو الخدمات الثقافية، من قبيل المسارح والمتاحف ودور السينما والمكتبات وخدمات السياحة، والتمتع، قدر الإمكان، بالوصول إلى النُُّصب التذكارية والمواقع ذات الأهمية الثقافية الوطنية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تتخـذ الدول الأطراف التدابير الملائمة لإتاحة الفرصة للأشخاص ذوي الإعاقة لتنمية واستخدام قدراتهم الإبداعية والفنية والفكرية، لا لخدمة مصلحتهم فحسب وإنما لإثراء المجتمع أيضا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الخطوات الملائمة، وفقا للقانون الدولي، للتأكد من أن القوانين التي تحمي حقوق الملكية الفكرية لا تشكل عائقا تعسفيا أو تمييزيا يحول دون استفادة الأشخاص ذوي الإعاقة من المواد الثقافية</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يحق للأشخاص ذوي الإعاقة، على قدم المساواة مع الآخرين، أن يحظوا بالاعتراف بهويتهم الثقافية واللغوية الخاصة وأن يحصلوا على دعم لها، بما في ذلك لغات الإشارات وثقافة الصُّم</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تمكينا للأشخاص ذوي الإعاقة من المشاركة، على قدم المساواة مع آخرين، في أنشطة الترفيه والتسلية والرياضة، تتخذ الدول الأطراف التدابير المناسبة من أجل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وتعزيز مشاركة الأشخاص ذوي الإعاقة، إلى أقصى حد ممكن، في الأنشطة الرياضية العامة على جميع المستويات؛</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إتاحة الفرصة للأشخاص ذوي الإعاقة لتنظيم الأنشطة الرياضية والترفيهية الخاصة بالإعاقة وتطويرها والمشاركة فيها، والعمل تحقيقا لهذه الغاية على تشجيع توفير القدر المناسب من التعليم والتدريب والموارد لهم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دخول الأشخاص ذوي الإعاقة إلـى الأماكن الرياضيـة والترفيهية والسياحية؛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إتاحة الفرصة للأطفال ذوي الإعاقة للمشاركة على قدم المساواة مع الأطفال الآخرين في أنشطة اللعب والترفيه والتسلية والرياضة، بما في ذلك الأنشطة التي تمارس في إطار النظام المدرسي؛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إمكانية حصول الأشخاص ذوي الإعاقة على الخدمات المقدمة من المشتغلين بتنظيم أنشطة الترفيه والسياحة والتسلية والرياضة</w:t>
      </w:r>
      <w:r w:rsidRPr="00443AB2">
        <w:rPr>
          <w:rFonts w:asciiTheme="minorBidi" w:eastAsia="Times New Roman" w:hAnsiTheme="minorBidi"/>
          <w:color w:val="000000" w:themeColor="text1"/>
          <w:sz w:val="32"/>
          <w:szCs w:val="32"/>
        </w:rPr>
        <w:t xml:space="preserve">. </w:t>
      </w:r>
    </w:p>
    <w:p w:rsidR="00DD2A0B" w:rsidRDefault="00DD2A0B" w:rsidP="0090070D">
      <w:pPr>
        <w:pStyle w:val="Heading3"/>
        <w:bidi/>
        <w:rPr>
          <w:rFonts w:asciiTheme="minorBidi" w:hAnsiTheme="minorBidi" w:cstheme="minorBidi"/>
          <w:color w:val="1F4E79" w:themeColor="accent1" w:themeShade="80"/>
          <w:sz w:val="32"/>
          <w:szCs w:val="32"/>
        </w:rPr>
      </w:pPr>
      <w:bookmarkStart w:id="31" w:name="31"/>
      <w:r w:rsidRPr="00A53452">
        <w:rPr>
          <w:rFonts w:asciiTheme="minorBidi" w:hAnsiTheme="minorBidi" w:cstheme="minorBidi"/>
          <w:color w:val="1F4E79" w:themeColor="accent1" w:themeShade="80"/>
          <w:sz w:val="32"/>
          <w:szCs w:val="32"/>
          <w:rtl/>
        </w:rPr>
        <w:t>المادة 31- جمع الإحصاءات والبيانات</w:t>
      </w:r>
      <w:r w:rsidRPr="00A53452">
        <w:rPr>
          <w:rFonts w:asciiTheme="minorBidi" w:hAnsiTheme="minorBidi" w:cstheme="minorBidi"/>
          <w:color w:val="1F4E79" w:themeColor="accent1" w:themeShade="80"/>
          <w:sz w:val="32"/>
          <w:szCs w:val="32"/>
        </w:rPr>
        <w:t xml:space="preserve"> </w:t>
      </w:r>
      <w:bookmarkEnd w:id="31"/>
    </w:p>
    <w:p w:rsidR="00DD2A0B" w:rsidRPr="00443AB2" w:rsidRDefault="00DD2A0B" w:rsidP="006C40F4">
      <w:pPr>
        <w:pStyle w:val="ListParagraph"/>
        <w:numPr>
          <w:ilvl w:val="0"/>
          <w:numId w:val="4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تقوم الدول الأطراف بجمع المعلومات المناسبة، بما في ذلك البيانات الإحصائية والبيانات المستخدمة في البحوث، لتمكينها من وضع وتنفيذ السياسات الكفيلة بإنفاذ هذه الاتفاقية. وينبغي أن تفي عملية جمع المعلومات والاحتفاظ بها بما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الامتثال للضمانات المعمول بها قانونا، بما فيها التشريعات المتعلقة بحماية البيانات، لكفالة السرية واحترام خصوصية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الامتثال للقواعد المقبولة دوليا لحماية حقوق الإنسان والحريات الأساسية والمبادئ الأخلاقية في جمع والإحصاءات واستخدامها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تُصنف المعلومات التي يتم جمعها وفقا لهذه المادة، حسب الاقتضاء، وتُستخدم للمساعدة في تقييم تنفيذ الالتزامات التي تعهدت بها الدول الأطراف بموجب هذه الاتفاقية وفي كشف العقبات التي تواجه الأشخاص ذوي الإعاقة في أثناء ممارستهم لحقوقهم والعمل على تذليلها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تضطلع الدول الأطراف بمسؤولية نشر هذه الإحصاءات وتضمن إتاحتها للأشخاص ذوي الإعاقة وغيرهم</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2" w:name="32"/>
      <w:r w:rsidRPr="00A53452">
        <w:rPr>
          <w:rFonts w:asciiTheme="minorBidi" w:hAnsiTheme="minorBidi" w:cstheme="minorBidi"/>
          <w:color w:val="1F4E79" w:themeColor="accent1" w:themeShade="80"/>
          <w:sz w:val="32"/>
          <w:szCs w:val="32"/>
          <w:rtl/>
        </w:rPr>
        <w:t>المادة 32- التعاون الدولي</w:t>
      </w:r>
      <w:r w:rsidRPr="00A53452">
        <w:rPr>
          <w:rFonts w:asciiTheme="minorBidi" w:hAnsiTheme="minorBidi" w:cstheme="minorBidi"/>
          <w:color w:val="1F4E79" w:themeColor="accent1" w:themeShade="80"/>
          <w:sz w:val="32"/>
          <w:szCs w:val="32"/>
        </w:rPr>
        <w:t xml:space="preserve"> </w:t>
      </w:r>
      <w:bookmarkEnd w:id="32"/>
    </w:p>
    <w:p w:rsidR="00DD2A0B" w:rsidRPr="00443AB2" w:rsidRDefault="00DD2A0B" w:rsidP="006C40F4">
      <w:pPr>
        <w:pStyle w:val="ListParagraph"/>
        <w:numPr>
          <w:ilvl w:val="0"/>
          <w:numId w:val="47"/>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تسلم الدول الأطراف بأهمية التعاون الدولي وتعزيزه، دعما للجهود الوطنية الرامية إلى تحقيق أهداف هذه الاتفاقية ومقصدها، وتتخذ تدابير مناسبة وفعالة بهذا الصدد فيما بينها، وحسب الاقتضاء، في شراكة مع المنظمات الدولية والإقليمية ذات الصلة والمجتمع المدني، ولا سيما منظمات الأشخاص ذوي الإعاقة. ويجوز أن تشمل هذه التدابير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شمول التعاون الدولي الأشخاص ذوي الإعاقة واستفادتهم منه، بما في ذلك البرامج الإنمائية الدولية؛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تسهيل ودعم بناء القدرات، بما في ذلك من خلال تبادل المعلومات والخبرات والبرامج التدريبية وأفضل الممارسات وتقاسمها؛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تسهيل التعاون في مجال البحوث والحصول على المعارف العلمية والتقنية؛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المساعدة التقنية والاقتصادية، حسب الاقتضاء، بما في ذلك عن طريق تيسير الحصول على التكنولوجيا السهلة المنال والمُعِينة وتقاسمها، وعن طريق نقل التكنولوجيا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7"/>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تمس أحكام هذه المادة التزامات كل دولة طرف بتنفيذ ما عليها من التزامات بموجب هذه الاتفاقية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3" w:name="33"/>
      <w:r w:rsidRPr="00A53452">
        <w:rPr>
          <w:rFonts w:asciiTheme="minorBidi" w:hAnsiTheme="minorBidi" w:cstheme="minorBidi"/>
          <w:color w:val="1F4E79" w:themeColor="accent1" w:themeShade="80"/>
          <w:sz w:val="32"/>
          <w:szCs w:val="32"/>
          <w:rtl/>
        </w:rPr>
        <w:t>المادة 33- التنفيذ والرصد على الصعيد الوطني</w:t>
      </w:r>
      <w:r w:rsidRPr="00A53452">
        <w:rPr>
          <w:rFonts w:asciiTheme="minorBidi" w:hAnsiTheme="minorBidi" w:cstheme="minorBidi"/>
          <w:color w:val="1F4E79" w:themeColor="accent1" w:themeShade="80"/>
          <w:sz w:val="32"/>
          <w:szCs w:val="32"/>
        </w:rPr>
        <w:t xml:space="preserve"> </w:t>
      </w:r>
      <w:bookmarkEnd w:id="33"/>
    </w:p>
    <w:p w:rsidR="00DD2A0B" w:rsidRPr="00443AB2" w:rsidRDefault="00DD2A0B" w:rsidP="006C40F4">
      <w:pPr>
        <w:pStyle w:val="ListParagraph"/>
        <w:numPr>
          <w:ilvl w:val="0"/>
          <w:numId w:val="49"/>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تعيِّن الدول الأطراف، وفقا لنهجها التنظيمية، جهة تنسيق واحدة أو أكثر داخل الحكومة تُعنى بالمسائل المتصلة بتنفيذ هذه الاتفاقية، وتولي الاعتبار الواجب لمسألة إنشاء أو تعيين آلية تنسيق داخل الحكومة لتيسير الأعمال ذات الصلة في مختلف القطاعات وعلى مختلف المستويات</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49"/>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تقوم الدول الأطراف، وفقا لنظمها القانونية والإدارية، بتشكيل أو تعزيز أو تعيين أو إنشاء إطار عمل داخل الدولة الطرف، بما في ذلك آلية مستقلة واحدة أو أكثر، حسب الاقتضاء، لتعزيز هذه الاتفاقية وحمايتها ورصد تنفيذها. وتأخذ الدول الأطراف بعين الاعتبار، عند تعيين أو إنشاء مثل هذه الآلية، المبادئ المتعلقة بمركز وطرق عمل المؤسسات الوطنية المعنية بحماية حقوق الإنسان وتعزيزها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9"/>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يسهم المجتمع المدني، وبخاصة الأشخاص ذوو الإعاقة والمنظمات الممثلة لهم، في عملية الرصد ويشاركون فيها مشاركة كاملة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4" w:name="34"/>
      <w:r w:rsidRPr="00A53452">
        <w:rPr>
          <w:rFonts w:asciiTheme="minorBidi" w:hAnsiTheme="minorBidi" w:cstheme="minorBidi"/>
          <w:color w:val="1F4E79" w:themeColor="accent1" w:themeShade="80"/>
          <w:sz w:val="32"/>
          <w:szCs w:val="32"/>
          <w:rtl/>
        </w:rPr>
        <w:t>المادة 34- اللجنة المعنية بحقوق الأشخاص ذوي الإعاقة</w:t>
      </w:r>
      <w:r w:rsidRPr="00A53452">
        <w:rPr>
          <w:rFonts w:asciiTheme="minorBidi" w:hAnsiTheme="minorBidi" w:cstheme="minorBidi"/>
          <w:color w:val="1F4E79" w:themeColor="accent1" w:themeShade="80"/>
          <w:sz w:val="32"/>
          <w:szCs w:val="32"/>
        </w:rPr>
        <w:t xml:space="preserve"> </w:t>
      </w:r>
      <w:bookmarkEnd w:id="34"/>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تنشأ لجنة معنية بحقوق الأشخاص ذوي الإعاقة (يشار إليها فيما يلي </w:t>
      </w:r>
      <w:proofErr w:type="gramStart"/>
      <w:r w:rsidRPr="00443AB2">
        <w:rPr>
          <w:rFonts w:asciiTheme="minorBidi" w:eastAsia="Times New Roman" w:hAnsiTheme="minorBidi"/>
          <w:color w:val="000000" w:themeColor="text1"/>
          <w:sz w:val="32"/>
          <w:szCs w:val="32"/>
          <w:rtl/>
        </w:rPr>
        <w:t>باسم ”اللجنة</w:t>
      </w:r>
      <w:proofErr w:type="gramEnd"/>
      <w:r w:rsidRPr="00443AB2">
        <w:rPr>
          <w:rFonts w:asciiTheme="minorBidi" w:eastAsia="Times New Roman" w:hAnsiTheme="minorBidi"/>
          <w:color w:val="000000" w:themeColor="text1"/>
          <w:sz w:val="32"/>
          <w:szCs w:val="32"/>
          <w:rtl/>
        </w:rPr>
        <w:t>“)، لتضطلع بتنفيذ المهام المنصوص عليها أدناه</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تتكون اللجنة، في وقت بدء نفاذ هذه الاتفاقية، من اثني عشر خبيرا. وتزداد عضوية اللجنة بستة أعضاء، بعد حصول الاتفاقية على ستين تصديقا أو انضماما إضافيا، لتصل عضويتها حدا أعلى مقداره ثمانية عشر عضوا</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يعمل أعضاء اللجنة بصفتهم الشخصية ويكونون من المشهود لهم بالأخلاق العالية والمعترف لهم بالكفاءة والخبرة في الميدان الذي تغطيه هذه الاتفاقية. والدول الأطراف مدعوة، عند تسمية مرشحيها، إلى أن تولي الاعتبار الواجب إلى الحكم الوارد في المادة 4-3 من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بواسطة الدول الأطراف مع مراعاة التوزيع الجغرافي العادل، وتمثيل مختلف أشكال الحضارات والنظم القانونية الرئيسية، والتمثيل المتوازن للجنسين، ومشاركة الخبراء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بالاقتراع السري من قائمة أشخاص ترشحهم الدول الأطراف من بين رعاياها في اجتماعات مؤتمر الدول الأطراف. وفي هذه الاجتماعات، التي يتشكل نصابها من ثلثي الدول الأطراف، ينتخب لعضوية اللجنة الأشخاص الذين يحصلون على أعلى عدد من الأصوات وعلى الأغلبية المطلقة من أصوات ممثلي الدول الأطراف الحاضرين والمصوتين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تجرى أول انتخابات في موعد لا يتجاوز ستة أشهر من تاريخ بدء نفاذ هذه الاتفاقية. ويوجه الأمين العام للأمم المتحدة إلى الدول الأطراف، قبل أربعة أشهر على الأقل من موعد إجراء أي انتخابات، رسالة يدعوهم فيها إلى تقديم أسماء المرشحين خلال فترة شهرين. ويعد الأمين العام عقب ذلك قائمة بأسماء جميع الأشخاص المرشحين بهذه الطريقة، وفقا للترتيب الأبجدي، مع توضيح أسماء الدول الأطراف التي ترشحهم، ويقدم القائمة المذكورة إلى الدول الأطراف في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لفترة أربع سنوات. ويجوز أن يعاد انتخابهم مرة واحدة. غير أن فترة عضوية ستة من الأعضاء الذين ينتخبون في الانتخابات الأولى تنتهي عند انقضاء فترة عامين؛ وبعد تلك الانتخابات الأولى مباشرة، يختار رئيس الاجتماع المشار إليه في الفقرة 5 من هذه المادة أسماء هؤلاء الأعضاء الستة عن طريق القرعة</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الستة الإضافيون عند إجراء الانتخابات العادية، وفقا للأحكام ذات الصلة من هذه المادة</w:t>
      </w:r>
      <w:r w:rsidRPr="00443AB2">
        <w:rPr>
          <w:rFonts w:asciiTheme="minorBidi" w:eastAsia="Times New Roman" w:hAnsiTheme="minorBidi"/>
          <w:color w:val="000000" w:themeColor="text1"/>
          <w:sz w:val="32"/>
          <w:szCs w:val="32"/>
        </w:rPr>
        <w:t xml:space="preserve">. </w:t>
      </w:r>
    </w:p>
    <w:p w:rsidR="00960094"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في حالة وفاة أو استقالة أحد أعضاء اللجنة أو إعلان ذلك العضو، لأي سبب آخر، عدم قدرته على أداء واجباته، تعين الدولة الطرف التي رشحت ذلك العضو خبيرا آخر يملك المؤهلات ويستوفي الشروط الواردة في الأحكام ذات الصلة من هذه المادة، ليعمل كعضو في اللجنة خلال ما تبقى من فترة ذلك العضو</w:t>
      </w:r>
      <w:r w:rsidRPr="00443AB2">
        <w:rPr>
          <w:rFonts w:asciiTheme="minorBidi" w:eastAsia="Times New Roman" w:hAnsiTheme="minorBidi"/>
          <w:color w:val="000000" w:themeColor="text1"/>
          <w:sz w:val="32"/>
          <w:szCs w:val="32"/>
        </w:rPr>
        <w:t xml:space="preserve">. </w:t>
      </w:r>
    </w:p>
    <w:p w:rsidR="00960094" w:rsidRDefault="00DD2A0B"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sidRPr="00960094">
        <w:rPr>
          <w:rFonts w:asciiTheme="minorBidi" w:eastAsia="Times New Roman" w:hAnsiTheme="minorBidi"/>
          <w:color w:val="000000" w:themeColor="text1"/>
          <w:sz w:val="32"/>
          <w:szCs w:val="32"/>
          <w:rtl/>
        </w:rPr>
        <w:t>تضع اللجنة النظام الداخلي الخاص بها</w:t>
      </w:r>
      <w:r w:rsidR="00960094">
        <w:rPr>
          <w:rFonts w:asciiTheme="minorBidi" w:eastAsia="Times New Roman" w:hAnsiTheme="minorBidi" w:hint="cs"/>
          <w:color w:val="000000" w:themeColor="text1"/>
          <w:sz w:val="32"/>
          <w:szCs w:val="32"/>
          <w:rtl/>
        </w:rPr>
        <w:t xml:space="preserve">. </w:t>
      </w:r>
    </w:p>
    <w:p w:rsidR="00DD2A0B" w:rsidRPr="00960094" w:rsidRDefault="00960094"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Pr>
          <w:rFonts w:asciiTheme="minorBidi" w:eastAsia="Times New Roman" w:hAnsiTheme="minorBidi" w:hint="cs"/>
          <w:color w:val="000000" w:themeColor="text1"/>
          <w:sz w:val="32"/>
          <w:szCs w:val="32"/>
          <w:rtl/>
        </w:rPr>
        <w:t>ي</w:t>
      </w:r>
      <w:r w:rsidR="00DD2A0B" w:rsidRPr="00960094">
        <w:rPr>
          <w:rFonts w:asciiTheme="minorBidi" w:eastAsia="Times New Roman" w:hAnsiTheme="minorBidi"/>
          <w:color w:val="000000" w:themeColor="text1"/>
          <w:sz w:val="32"/>
          <w:szCs w:val="32"/>
          <w:rtl/>
        </w:rPr>
        <w:t>وفر الأمين العام للأمم المتحدة الموظفين اللازمين والمرافق الضرورية لكي تؤدي اللجنة مهامها بكفاءة بموجب هذه الاتفاقية، ويدعو إلى انعقاد أول اجتماع لها</w:t>
      </w:r>
      <w:r w:rsidR="00DD2A0B" w:rsidRPr="00960094">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يتلقى أعضاء اللجنة المنشأة بموجب هذه الاتفاقية أجورهم من موارد الأمم المتحدة، بموافقة الجمعية العامة، وفقا للمعايير والشروط التي تحددها الجمعية العامة، مع وضع أهمية مسؤوليات اللجنة في الاعتبار</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يحصل أعضاء اللجنة على التسهيلات والامتيازات والحصانات التي يحصل عليها الخبراء المكلفون بمهام تابعة للأمم المتحدة، حسبما تنص عليه البنود ذات الصلة في اتفاقية امتيازات الأمم المتحدة وحصاناتها</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r w:rsidRPr="00A53452">
        <w:rPr>
          <w:rFonts w:asciiTheme="minorBidi" w:hAnsiTheme="minorBidi" w:cstheme="minorBidi"/>
          <w:color w:val="1F4E79" w:themeColor="accent1" w:themeShade="80"/>
          <w:sz w:val="32"/>
          <w:szCs w:val="32"/>
          <w:rtl/>
        </w:rPr>
        <w:t>المادة 35- تقارير الدول الأطراف</w:t>
      </w:r>
      <w:r w:rsidRPr="00A53452">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تقدم كل دولة طرف إلى اللجنة، عن طريق الأمين العام للأمم المتحدة، تقريرا شاملا عن التدابير المتخذة لتنفيذ التزاماتها بموجب هذه الاتفاقية وعن التقدم المحرز في هذا الصدد، وذلك خلال فترة عامين عقب بدء نفاذ هذه الاتفاقية بالنسبة للدولة الطرف المعنية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تقدم الدول الأطراف تقاريرها عقب ذلك مرة كل 4 سنوات على الأقل، وكذلك كلما طلبت منها اللجنة ذلك</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تحدد اللجنة أية مبادئ توجيهية ترى وجوب تطبيقها على محتويات التقارير</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يتعين على الدولة الطرف، التي تقدم تقريرها الأول الشامل إلى اللجنة، تكرار إدراج المعلومات التي سبق تقديمها في التقارير اللاحقة. والدول الأطراف مدعوة إلى أن تنظر، عند إعداد التقارير التي تقدم إلى اللجنة، في مسألة إعداد هذه التقارير من خلال عملية تتسم بالانفتاح والشفافية وإلى أن تولي الاعتبار الواجب إلى الحكم الوارد في المادة 4-3 من هذه الاتفاقية</w:t>
      </w:r>
      <w:r w:rsidRPr="00443AB2">
        <w:rPr>
          <w:rFonts w:asciiTheme="minorBidi" w:eastAsia="Times New Roman" w:hAnsiTheme="minorBidi"/>
          <w:color w:val="000000" w:themeColor="text1"/>
          <w:sz w:val="32"/>
          <w:szCs w:val="32"/>
        </w:rPr>
        <w:t xml:space="preserve">. </w:t>
      </w:r>
    </w:p>
    <w:p w:rsidR="00960094"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أن تدرج في التقارير العوامل والصعوبات التي تؤثر على درجة الوفاء بالالتزامات بموجب هذه الاتفاقية</w:t>
      </w:r>
      <w:r w:rsidRPr="00443AB2">
        <w:rPr>
          <w:rFonts w:asciiTheme="minorBidi" w:eastAsia="Times New Roman" w:hAnsiTheme="minorBidi"/>
          <w:color w:val="000000" w:themeColor="text1"/>
          <w:sz w:val="32"/>
          <w:szCs w:val="32"/>
        </w:rPr>
        <w:t xml:space="preserve">. </w:t>
      </w:r>
    </w:p>
    <w:p w:rsidR="00960094" w:rsidRDefault="00960094" w:rsidP="0090070D">
      <w:pPr>
        <w:bidi/>
      </w:pPr>
      <w:r>
        <w:br w:type="page"/>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5" w:name="36"/>
      <w:r w:rsidRPr="00A53452">
        <w:rPr>
          <w:rFonts w:asciiTheme="minorBidi" w:hAnsiTheme="minorBidi" w:cstheme="minorBidi"/>
          <w:color w:val="1F4E79" w:themeColor="accent1" w:themeShade="80"/>
          <w:sz w:val="32"/>
          <w:szCs w:val="32"/>
          <w:rtl/>
        </w:rPr>
        <w:t>المادة 36- النظر في التقارير</w:t>
      </w:r>
      <w:r w:rsidRPr="00A53452">
        <w:rPr>
          <w:rFonts w:asciiTheme="minorBidi" w:hAnsiTheme="minorBidi" w:cstheme="minorBidi"/>
          <w:color w:val="1F4E79" w:themeColor="accent1" w:themeShade="80"/>
          <w:sz w:val="32"/>
          <w:szCs w:val="32"/>
        </w:rPr>
        <w:t xml:space="preserve"> </w:t>
      </w:r>
      <w:bookmarkEnd w:id="35"/>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تنظر اللجنة في كل تقرير وتقدم ما تراه ملائما من اقتراحات وتوصيات عامة بشأنه وتحيلها إلى الدولة الطرف المعنية. ويجوز للدولة الطرف أن ترد على اللجنة بأي معلومات تختارها. ويجوز للجنة أن تطلب إلى الدول الأطراف معلومات إضافية ذات صلة بتطبيق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إذا تأخرت دولة طرف تأخرا كبيرا في تقديم تقرير، جاز للجنة أن تُشعر الدولة الطرف المعنية بضرورة فحص تطبيق هذه الاتفاقية في تلك الدولة الطرف، استنادا إلى معلومات موثوق بها تتاح للجنة، إذا لم يقدم التقرير ذو الصلة في غضون ثلاثة أشهر من توجيه الإشعار. وتدعو اللجنة الدولة الطرف المعنية إلى المشاركة في هذا الفحص. وإذا استجابت الدولة الطرف بتقديم التقرير ذي الصلة، تطبق أحكام الفقرة 1 من هذه المادة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يتيح الأمين العام للأمم المتحدة التقارير لكافة الدول الأطراف</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تتيح الدول الأطراف تقاريرها على نطاق واسع لعامة الجمهور في بلدانها وتيسر إمكانية الاطلاع على الاقتراحات والتوصيات العامة المتعلقة بهذه التقارير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تحيل اللجنة، حسبما تراه ملائما، إلى الوكالات المتخصصة وصناديق الأمم المتحدة وبرامجها وسائر الهيئات المختصة، أي تقارير من الدول الأطراف تتضمن طلبا للمشورة أو المساعدة التقنيتين، أو تشير إلى حاجتها لمثل هذه المشورة أو المساعدة، وتشفعها بملاحظات اللجنة وتوصياتها بصدد هذه الطلبات أو الإشارات، إن وجدت</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6" w:name="37"/>
      <w:r w:rsidRPr="00A53452">
        <w:rPr>
          <w:rFonts w:asciiTheme="minorBidi" w:hAnsiTheme="minorBidi" w:cstheme="minorBidi"/>
          <w:color w:val="1F4E79" w:themeColor="accent1" w:themeShade="80"/>
          <w:sz w:val="32"/>
          <w:szCs w:val="32"/>
          <w:rtl/>
        </w:rPr>
        <w:t>المادة 37- التعاون بين الدول الأطراف واللجنة</w:t>
      </w:r>
      <w:bookmarkEnd w:id="36"/>
      <w:r w:rsidRPr="00A53452">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5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تتعاون كل دولة طرف مع اللجنة وتساعد أعضاءها في الاضطلاع بولايتهم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تولي اللجنة، في علاقتها مع الدول الأطراف، الاعتبار اللازم لسبل ووسائل تعزيز القدرات الوطنية لتطبيق هذه الاتفاقية، بما في ذلك عن طريق التعاون الدولي</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7" w:name="38"/>
      <w:r w:rsidRPr="00A53452">
        <w:rPr>
          <w:rFonts w:asciiTheme="minorBidi" w:hAnsiTheme="minorBidi" w:cstheme="minorBidi"/>
          <w:color w:val="1F4E79" w:themeColor="accent1" w:themeShade="80"/>
          <w:sz w:val="32"/>
          <w:szCs w:val="32"/>
          <w:rtl/>
        </w:rPr>
        <w:t>المادة 38- علاقة اللجنة مع الهيئات الأخرى</w:t>
      </w:r>
      <w:bookmarkEnd w:id="37"/>
      <w:r w:rsidRPr="00A53452">
        <w:rPr>
          <w:rFonts w:asciiTheme="minorBidi" w:hAnsiTheme="minorBidi" w:cstheme="minorBidi"/>
          <w:color w:val="1F4E79" w:themeColor="accent1" w:themeShade="80"/>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لدعم تطبيق هذه الاتفاقية على نحو فعال وتشجيع التعاون الدولي في الميدان الذي تغطيه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يكون من حق الوكالات المتخصصة وغيرها من أجهزة الأمم المتحدة أن تكون ممثلة لدى النظر في تطبيق ما يدخل في نطاق ولايتها من أحكام هذه الاتفاقية. وللجنة أن تدعو الوكالات المتخصصة والهيئات المختصة الأخرى، حسبما تراه ملائما، لتقديم مشورة خبرائها بشأن تطبيق الاتفاقية في المجالات التي تدخل في نطاق ولاية كل منها. وللجنة أن تدعو الوكالات المتخصصة وغيرها من أجهزة الأمم المتحدة لتقديم تقارير عن تطبيق الاتفاقية في المجالات التي تدخل في نطاق أنشطتها؛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تقوم اللجنة، لدى اضطلاعها بولايتها، بالتشاور، حسب الاقتضاء، مع الهيئات الأخرى ذات الصلة المنشأة بموجب معاهدات دولية لحقوق الإنسان، وذلك بغرض ضمان اتساق ما يضعه كل منها من مبادئ توجيهية للإبلاغ واقتراحات وتوصيات عامة، وتفادي الازدواجية والتداخل في أداء وظائفها</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8" w:name="39"/>
      <w:r w:rsidRPr="00A53452">
        <w:rPr>
          <w:rFonts w:asciiTheme="minorBidi" w:hAnsiTheme="minorBidi" w:cstheme="minorBidi"/>
          <w:color w:val="1F4E79" w:themeColor="accent1" w:themeShade="80"/>
          <w:sz w:val="32"/>
          <w:szCs w:val="32"/>
          <w:rtl/>
        </w:rPr>
        <w:t>المادة 39- تقرير اللجنة</w:t>
      </w:r>
      <w:r w:rsidRPr="00A53452">
        <w:rPr>
          <w:rFonts w:asciiTheme="minorBidi" w:hAnsiTheme="minorBidi" w:cstheme="minorBidi"/>
          <w:color w:val="1F4E79" w:themeColor="accent1" w:themeShade="80"/>
          <w:sz w:val="32"/>
          <w:szCs w:val="32"/>
        </w:rPr>
        <w:t xml:space="preserve"> </w:t>
      </w:r>
      <w:bookmarkEnd w:id="38"/>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تقدم اللجنة كل سنتين تقارير عن أنشطتها إلى الجمعية العامة </w:t>
      </w:r>
      <w:proofErr w:type="spellStart"/>
      <w:r w:rsidRPr="00443AB2">
        <w:rPr>
          <w:rFonts w:asciiTheme="minorBidi" w:eastAsia="Times New Roman" w:hAnsiTheme="minorBidi"/>
          <w:color w:val="000000" w:themeColor="text1"/>
          <w:sz w:val="32"/>
          <w:szCs w:val="32"/>
          <w:rtl/>
        </w:rPr>
        <w:t>واﻟﻤﺠلس</w:t>
      </w:r>
      <w:proofErr w:type="spellEnd"/>
      <w:r w:rsidRPr="00443AB2">
        <w:rPr>
          <w:rFonts w:asciiTheme="minorBidi" w:eastAsia="Times New Roman" w:hAnsiTheme="minorBidi"/>
          <w:color w:val="000000" w:themeColor="text1"/>
          <w:sz w:val="32"/>
          <w:szCs w:val="32"/>
          <w:rtl/>
        </w:rPr>
        <w:t xml:space="preserve"> الاقتصادي والاجتماعي، ويج وز لها أن تقدم اقتراحات وتوصيات عامة بناء على فحص التقارير والمعلومات الواردة من الدول </w:t>
      </w:r>
      <w:r w:rsidR="00657D31" w:rsidRPr="00443AB2">
        <w:rPr>
          <w:rFonts w:asciiTheme="minorBidi" w:eastAsia="Times New Roman" w:hAnsiTheme="minorBidi" w:hint="cs"/>
          <w:color w:val="000000" w:themeColor="text1"/>
          <w:sz w:val="32"/>
          <w:szCs w:val="32"/>
          <w:rtl/>
        </w:rPr>
        <w:t>الأطراف.</w:t>
      </w:r>
      <w:r w:rsidRPr="00443AB2">
        <w:rPr>
          <w:rFonts w:asciiTheme="minorBidi" w:eastAsia="Times New Roman" w:hAnsiTheme="minorBidi"/>
          <w:color w:val="000000" w:themeColor="text1"/>
          <w:sz w:val="32"/>
          <w:szCs w:val="32"/>
          <w:rtl/>
        </w:rPr>
        <w:t xml:space="preserve"> وتدرج تلك الاقتراحات والتوصيات العامة في تقرير اللجنة إلى جانب تعليقات الدول الأطراف، إن وجدت</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9" w:name="40"/>
      <w:r w:rsidRPr="00A53452">
        <w:rPr>
          <w:rFonts w:asciiTheme="minorBidi" w:hAnsiTheme="minorBidi" w:cstheme="minorBidi"/>
          <w:color w:val="1F4E79" w:themeColor="accent1" w:themeShade="80"/>
          <w:sz w:val="32"/>
          <w:szCs w:val="32"/>
          <w:rtl/>
        </w:rPr>
        <w:t>المادة 40- مؤتمر الدول الأطراف</w:t>
      </w:r>
      <w:r w:rsidRPr="00A53452">
        <w:rPr>
          <w:rFonts w:asciiTheme="minorBidi" w:hAnsiTheme="minorBidi" w:cstheme="minorBidi"/>
          <w:color w:val="1F4E79" w:themeColor="accent1" w:themeShade="80"/>
          <w:sz w:val="32"/>
          <w:szCs w:val="32"/>
        </w:rPr>
        <w:t xml:space="preserve"> </w:t>
      </w:r>
      <w:bookmarkEnd w:id="39"/>
    </w:p>
    <w:p w:rsidR="00DD2A0B" w:rsidRPr="00443AB2" w:rsidRDefault="00DD2A0B" w:rsidP="006C40F4">
      <w:pPr>
        <w:pStyle w:val="ListParagraph"/>
        <w:numPr>
          <w:ilvl w:val="0"/>
          <w:numId w:val="5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تجتمع الدول الأطراف بانتظام في مؤتمر للدول الأطراف بغية النظر في أي مسألة تتعلق بتطبيق هذه الاتفاقية</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يدعو الأمين العام للأمم المتحدة إلى عقد مؤتمر الدول الأطراف، في موعد أقصاه ستة أشهر من بدء نفاذ هذه الاتفاقية. ويدعو الأمين العام للأمم المتحدة إلى عقد الاجتماعات اللاحقة مرة كل سنتين أو بناء على قرار لمؤتمر الدول الأطراف</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0" w:name="41"/>
      <w:r w:rsidRPr="00A53452">
        <w:rPr>
          <w:rFonts w:asciiTheme="minorBidi" w:hAnsiTheme="minorBidi" w:cstheme="minorBidi"/>
          <w:color w:val="1F4E79" w:themeColor="accent1" w:themeShade="80"/>
          <w:sz w:val="32"/>
          <w:szCs w:val="32"/>
          <w:rtl/>
        </w:rPr>
        <w:t>المادة 41- الوديع</w:t>
      </w:r>
      <w:r w:rsidRPr="00A53452">
        <w:rPr>
          <w:rFonts w:asciiTheme="minorBidi" w:hAnsiTheme="minorBidi" w:cstheme="minorBidi"/>
          <w:color w:val="1F4E79" w:themeColor="accent1" w:themeShade="80"/>
          <w:sz w:val="32"/>
          <w:szCs w:val="32"/>
        </w:rPr>
        <w:t xml:space="preserve"> </w:t>
      </w:r>
      <w:bookmarkEnd w:id="40"/>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يكون الأمين العام للأمم المتحدة وديع هذه الاتفاقية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1" w:name="42"/>
      <w:r w:rsidRPr="00A53452">
        <w:rPr>
          <w:rFonts w:asciiTheme="minorBidi" w:hAnsiTheme="minorBidi" w:cstheme="minorBidi"/>
          <w:color w:val="1F4E79" w:themeColor="accent1" w:themeShade="80"/>
          <w:sz w:val="32"/>
          <w:szCs w:val="32"/>
          <w:rtl/>
        </w:rPr>
        <w:t>المادة 42- التوقيع</w:t>
      </w:r>
      <w:r w:rsidRPr="00A53452">
        <w:rPr>
          <w:rFonts w:asciiTheme="minorBidi" w:hAnsiTheme="minorBidi" w:cstheme="minorBidi"/>
          <w:color w:val="1F4E79" w:themeColor="accent1" w:themeShade="80"/>
          <w:sz w:val="32"/>
          <w:szCs w:val="32"/>
        </w:rPr>
        <w:t xml:space="preserve"> </w:t>
      </w:r>
      <w:bookmarkEnd w:id="41"/>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يفتح باب التوقيع على هذه الاتفاقية لجميع الدول ولمنظمات التكامل الإقليمي في مقر الأمم المتحدة في نيويورك اعتبارا من 30 آذار/مارس 2007</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2" w:name="43"/>
      <w:r w:rsidRPr="00A53452">
        <w:rPr>
          <w:rFonts w:asciiTheme="minorBidi" w:hAnsiTheme="minorBidi" w:cstheme="minorBidi"/>
          <w:color w:val="1F4E79" w:themeColor="accent1" w:themeShade="80"/>
          <w:sz w:val="32"/>
          <w:szCs w:val="32"/>
          <w:rtl/>
        </w:rPr>
        <w:t>المادة 43- الرضا بالالتزام</w:t>
      </w:r>
      <w:r w:rsidRPr="00A53452">
        <w:rPr>
          <w:rFonts w:asciiTheme="minorBidi" w:hAnsiTheme="minorBidi" w:cstheme="minorBidi"/>
          <w:color w:val="1F4E79" w:themeColor="accent1" w:themeShade="80"/>
          <w:sz w:val="32"/>
          <w:szCs w:val="32"/>
        </w:rPr>
        <w:t xml:space="preserve"> </w:t>
      </w:r>
      <w:bookmarkEnd w:id="4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تخضع هذه المعاهدة لتصديق الدول الموقعة وللإقرار الرسمي من جانب منظمات التكامل الإقليمي الموقعة. وتكون مفتوحة لانضمام أي دولة أو منظمة للتكامل الإقليمي لم توقع الاتفاقية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3" w:name="44"/>
      <w:r w:rsidRPr="00A53452">
        <w:rPr>
          <w:rFonts w:asciiTheme="minorBidi" w:hAnsiTheme="minorBidi" w:cstheme="minorBidi"/>
          <w:color w:val="1F4E79" w:themeColor="accent1" w:themeShade="80"/>
          <w:sz w:val="32"/>
          <w:szCs w:val="32"/>
          <w:rtl/>
        </w:rPr>
        <w:t>المادة 44- منظمات التكامل الإقليمي</w:t>
      </w:r>
      <w:r w:rsidRPr="00A53452">
        <w:rPr>
          <w:rFonts w:asciiTheme="minorBidi" w:hAnsiTheme="minorBidi" w:cstheme="minorBidi"/>
          <w:color w:val="1F4E79" w:themeColor="accent1" w:themeShade="80"/>
          <w:sz w:val="32"/>
          <w:szCs w:val="32"/>
        </w:rPr>
        <w:t xml:space="preserve"> </w:t>
      </w:r>
      <w:bookmarkEnd w:id="43"/>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يقصد </w:t>
      </w:r>
      <w:proofErr w:type="gramStart"/>
      <w:r w:rsidRPr="00443AB2">
        <w:rPr>
          <w:rFonts w:asciiTheme="minorBidi" w:eastAsia="Times New Roman" w:hAnsiTheme="minorBidi"/>
          <w:color w:val="000000" w:themeColor="text1"/>
          <w:sz w:val="32"/>
          <w:szCs w:val="32"/>
          <w:rtl/>
        </w:rPr>
        <w:t>بـتعبير ’’منظمة</w:t>
      </w:r>
      <w:proofErr w:type="gramEnd"/>
      <w:r w:rsidRPr="00443AB2">
        <w:rPr>
          <w:rFonts w:asciiTheme="minorBidi" w:eastAsia="Times New Roman" w:hAnsiTheme="minorBidi"/>
          <w:color w:val="000000" w:themeColor="text1"/>
          <w:sz w:val="32"/>
          <w:szCs w:val="32"/>
          <w:rtl/>
        </w:rPr>
        <w:t xml:space="preserve"> التكامل الإقليمي‘‘ منظمة تشكلها الدول ذات السيادة في منطقة ما، وتنقل إليها الدول الأطراف فيها الاختصاص فيما يتعلق بالمسائل التي تحكمها هذه الاتفاقية. وتعلن تلك المنظمات، في صكوك إقرارها الرسمي أو انضمامها، نطاق اختصاصها فيما يتعلق بالمسائل التي تحكمها هذه الاتفاقية. وتبلغ الوديع فيما بعد بأي تعديل جوهري في نطاق اختصاصها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تنطبق الإشارات في هذه الاتفاقية </w:t>
      </w:r>
      <w:proofErr w:type="gramStart"/>
      <w:r w:rsidRPr="00443AB2">
        <w:rPr>
          <w:rFonts w:asciiTheme="minorBidi" w:eastAsia="Times New Roman" w:hAnsiTheme="minorBidi"/>
          <w:color w:val="000000" w:themeColor="text1"/>
          <w:sz w:val="32"/>
          <w:szCs w:val="32"/>
          <w:rtl/>
        </w:rPr>
        <w:t>إلى ’’الدول</w:t>
      </w:r>
      <w:proofErr w:type="gramEnd"/>
      <w:r w:rsidRPr="00443AB2">
        <w:rPr>
          <w:rFonts w:asciiTheme="minorBidi" w:eastAsia="Times New Roman" w:hAnsiTheme="minorBidi"/>
          <w:color w:val="000000" w:themeColor="text1"/>
          <w:sz w:val="32"/>
          <w:szCs w:val="32"/>
          <w:rtl/>
        </w:rPr>
        <w:t xml:space="preserve"> الأطراف‘‘ على تلك المنظمات في حدود اختصاصها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ولأغراض الفقرة 1 من المادة 45 والفقرتين 2 </w:t>
      </w:r>
      <w:proofErr w:type="gramStart"/>
      <w:r w:rsidRPr="00443AB2">
        <w:rPr>
          <w:rFonts w:asciiTheme="minorBidi" w:eastAsia="Times New Roman" w:hAnsiTheme="minorBidi"/>
          <w:color w:val="000000" w:themeColor="text1"/>
          <w:sz w:val="32"/>
          <w:szCs w:val="32"/>
          <w:rtl/>
        </w:rPr>
        <w:t>و 3</w:t>
      </w:r>
      <w:proofErr w:type="gramEnd"/>
      <w:r w:rsidRPr="00443AB2">
        <w:rPr>
          <w:rFonts w:asciiTheme="minorBidi" w:eastAsia="Times New Roman" w:hAnsiTheme="minorBidi"/>
          <w:color w:val="000000" w:themeColor="text1"/>
          <w:sz w:val="32"/>
          <w:szCs w:val="32"/>
          <w:rtl/>
        </w:rPr>
        <w:t xml:space="preserve"> من المادة 47، لا يعتد بأي صك تودعه منظمة للتكامل الإقليمي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تمارس منظمات التكامل الإقليمي، في الأمور التي تندرج ضمن نطاق اختصاصها، حقها في التصويت في مؤتمر الدول الأطراف، بعدد من الأصوات مساو لعدد دولها الأعضاء التي هي أطراف في هذه الاتفاقية. ولا تمارس تلك المنظمات حقها في التصويت إذا مارست أي دولة من الدول الأعضاء فيها حقها في التصويت، والعكس صحيح</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4" w:name="451"/>
      <w:r w:rsidRPr="00A53452">
        <w:rPr>
          <w:rFonts w:asciiTheme="minorBidi" w:hAnsiTheme="minorBidi" w:cstheme="minorBidi"/>
          <w:color w:val="1F4E79" w:themeColor="accent1" w:themeShade="80"/>
          <w:sz w:val="32"/>
          <w:szCs w:val="32"/>
          <w:rtl/>
        </w:rPr>
        <w:t>المادة 45- بدء النفاذ</w:t>
      </w:r>
      <w:bookmarkEnd w:id="44"/>
      <w:r w:rsidRPr="00A53452">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5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يبدأ نفاذ هذه الاتفاقية في اليوم الثلاثين الذي يلي تاريخ إيداع الصك العشرين للتصديق أو الانضمام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يبدأ نفاذ هذه الاتفاقية، بالنسبة لكل دولة أو منظمة للتكامل الإقليمي تصدّق على هذه الاتفاقية أو تقرها رسميا أو تنضم إليها بعد إيداع الصك العشرين من تلك الصكوك، في اليوم الثلاثين من تاريخ إيداع صكها</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5" w:name="46"/>
      <w:r w:rsidRPr="00A53452">
        <w:rPr>
          <w:rFonts w:asciiTheme="minorBidi" w:hAnsiTheme="minorBidi" w:cstheme="minorBidi"/>
          <w:color w:val="1F4E79" w:themeColor="accent1" w:themeShade="80"/>
          <w:sz w:val="32"/>
          <w:szCs w:val="32"/>
          <w:rtl/>
        </w:rPr>
        <w:t>المادة 46- التحفظات</w:t>
      </w:r>
      <w:r w:rsidRPr="00A53452">
        <w:rPr>
          <w:rFonts w:asciiTheme="minorBidi" w:hAnsiTheme="minorBidi" w:cstheme="minorBidi"/>
          <w:color w:val="1F4E79" w:themeColor="accent1" w:themeShade="80"/>
          <w:sz w:val="32"/>
          <w:szCs w:val="32"/>
        </w:rPr>
        <w:t xml:space="preserve"> </w:t>
      </w:r>
      <w:bookmarkEnd w:id="45"/>
    </w:p>
    <w:p w:rsidR="00DD2A0B" w:rsidRPr="00443AB2" w:rsidRDefault="00DD2A0B" w:rsidP="006C40F4">
      <w:pPr>
        <w:pStyle w:val="ListParagraph"/>
        <w:numPr>
          <w:ilvl w:val="0"/>
          <w:numId w:val="6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يجوز إبداء أي تحفظ يكون منافيا لموضوع هذه الاتفاقية وغرضها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6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سحب التحفظات في أي وقت</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6" w:name="47"/>
      <w:r w:rsidRPr="00A53452">
        <w:rPr>
          <w:rFonts w:asciiTheme="minorBidi" w:hAnsiTheme="minorBidi" w:cstheme="minorBidi"/>
          <w:color w:val="1F4E79" w:themeColor="accent1" w:themeShade="80"/>
          <w:sz w:val="32"/>
          <w:szCs w:val="32"/>
          <w:rtl/>
        </w:rPr>
        <w:t>المادة 47- التعديلات</w:t>
      </w:r>
      <w:r w:rsidRPr="00A53452">
        <w:rPr>
          <w:rFonts w:asciiTheme="minorBidi" w:hAnsiTheme="minorBidi" w:cstheme="minorBidi"/>
          <w:color w:val="1F4E79" w:themeColor="accent1" w:themeShade="80"/>
          <w:sz w:val="32"/>
          <w:szCs w:val="32"/>
        </w:rPr>
        <w:t xml:space="preserve"> </w:t>
      </w:r>
      <w:bookmarkEnd w:id="46"/>
    </w:p>
    <w:p w:rsidR="00DD2A0B" w:rsidRPr="00443AB2" w:rsidRDefault="00DD2A0B" w:rsidP="006C40F4">
      <w:pPr>
        <w:pStyle w:val="ListParagraph"/>
        <w:numPr>
          <w:ilvl w:val="0"/>
          <w:numId w:val="5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لأي دولة طرف أن تقترح تعديلا لهذه الاتفاقية وأن تقدمه إلى الأمين العام للأمم المتحدة. ويقوم الأمين العام بإبلاغ الدول الأطراف بأي تعديلات مقترحة، طالبا إليها إشعاره بما إذا كانت تحبذ عقد مؤتمر للدول الأطراف للنظر في تلك المقترحات والبت فيها. فإذا حبذ عقد المؤتمر ثلث الدول الأطراف على الأقل، في غضون أربعة أشهر من ذلك الإبلاغ، فإن الأمين العام يعقد المؤتمر تحت رعاية الأمم المتحدة. ويقدم الأمين العام أي تعديل يعتمده ثلثا الدول الأطراف الحاضرة والمصوتة في المؤتمر إلى الجمعية العامة للموافقة عليه ثم إلى كافة الدول الأطراف لقبوله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يبدأ نفاذ التعديل الذي يُعتمد ويُقَرّ وفقا للفقرة 1 من هذه المادة في اليوم الثلاثين من بلوغ عدد صكوك القبول المودعة ثلثي عدد الدول الأطراف في تاريخ اعتماد التعديل. ثم يبدأ نفاذ التعديل تجاه أي دولة طرف في اليوم الثلاثين من إيداع صك قبولها. ولا يكون التعديل ملزما إلا للدول الأطراف التي قبلته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ويبدأ نفاذ التعديل الذي يُعتمد ويُقَرّ وفقا للفقرة 1 من هذه المادة ويتعلق حصرا بالمواد 34 </w:t>
      </w:r>
      <w:proofErr w:type="gramStart"/>
      <w:r w:rsidRPr="00443AB2">
        <w:rPr>
          <w:rFonts w:asciiTheme="minorBidi" w:eastAsia="Times New Roman" w:hAnsiTheme="minorBidi"/>
          <w:color w:val="000000" w:themeColor="text1"/>
          <w:sz w:val="32"/>
          <w:szCs w:val="32"/>
          <w:rtl/>
        </w:rPr>
        <w:t>و 38</w:t>
      </w:r>
      <w:proofErr w:type="gramEnd"/>
      <w:r w:rsidRPr="00443AB2">
        <w:rPr>
          <w:rFonts w:asciiTheme="minorBidi" w:eastAsia="Times New Roman" w:hAnsiTheme="minorBidi"/>
          <w:color w:val="000000" w:themeColor="text1"/>
          <w:sz w:val="32"/>
          <w:szCs w:val="32"/>
          <w:rtl/>
        </w:rPr>
        <w:t xml:space="preserve"> و 39 و 40 تجاه كافة الدول الأطراف في اليوم الثلاثين من بلوغ عدد صكوك القبول المودعة ثلثي عدد الدول الأطراف في تاريخ اعتماد التعديل، إذا قرر مؤتمر الدول الأطراف ذلك بتوافق الآراء</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7" w:name="48"/>
      <w:r w:rsidRPr="00A53452">
        <w:rPr>
          <w:rFonts w:asciiTheme="minorBidi" w:hAnsiTheme="minorBidi" w:cstheme="minorBidi"/>
          <w:color w:val="1F4E79" w:themeColor="accent1" w:themeShade="80"/>
          <w:sz w:val="32"/>
          <w:szCs w:val="32"/>
          <w:rtl/>
        </w:rPr>
        <w:t>المادة 48- نقض الاتفاقية</w:t>
      </w:r>
      <w:bookmarkEnd w:id="47"/>
      <w:r w:rsidRPr="00A53452">
        <w:rPr>
          <w:rFonts w:asciiTheme="minorBidi" w:hAnsiTheme="minorBidi" w:cstheme="minorBidi"/>
          <w:color w:val="1F4E79" w:themeColor="accent1" w:themeShade="80"/>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لأي دولة طرف أن تنقض هذه الاتفاقية بإشعار خطي توجهه إلى الأمين العام للأمم المتحدة. ويصبح هذا النقض نافذا بعد سنة واحدة من تاريخ تسلم الأمين العام ذلك الإشعار</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8" w:name="49"/>
      <w:r w:rsidRPr="00A53452">
        <w:rPr>
          <w:rFonts w:asciiTheme="minorBidi" w:hAnsiTheme="minorBidi" w:cstheme="minorBidi"/>
          <w:color w:val="1F4E79" w:themeColor="accent1" w:themeShade="80"/>
          <w:sz w:val="32"/>
          <w:szCs w:val="32"/>
          <w:rtl/>
        </w:rPr>
        <w:t>المادة 49- الشكل الميسِّر للاطلاع</w:t>
      </w:r>
      <w:r w:rsidRPr="00A53452">
        <w:rPr>
          <w:rFonts w:asciiTheme="minorBidi" w:hAnsiTheme="minorBidi" w:cstheme="minorBidi"/>
          <w:color w:val="1F4E79" w:themeColor="accent1" w:themeShade="80"/>
          <w:sz w:val="32"/>
          <w:szCs w:val="32"/>
        </w:rPr>
        <w:t xml:space="preserve"> </w:t>
      </w:r>
      <w:bookmarkEnd w:id="48"/>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يتاح نص هذه الاتفاقية في أشكال يسهل الاطلاع عليها</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9" w:name="50"/>
      <w:r w:rsidRPr="00A53452">
        <w:rPr>
          <w:rFonts w:asciiTheme="minorBidi" w:hAnsiTheme="minorBidi" w:cstheme="minorBidi"/>
          <w:color w:val="1F4E79" w:themeColor="accent1" w:themeShade="80"/>
          <w:sz w:val="32"/>
          <w:szCs w:val="32"/>
          <w:rtl/>
        </w:rPr>
        <w:t>المادة 50- حجية النصوص</w:t>
      </w:r>
      <w:r w:rsidRPr="00A53452">
        <w:rPr>
          <w:rFonts w:asciiTheme="minorBidi" w:hAnsiTheme="minorBidi" w:cstheme="minorBidi"/>
          <w:color w:val="1F4E79" w:themeColor="accent1" w:themeShade="80"/>
          <w:sz w:val="32"/>
          <w:szCs w:val="32"/>
        </w:rPr>
        <w:t xml:space="preserve"> </w:t>
      </w:r>
      <w:bookmarkEnd w:id="49"/>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تتساوى في الحجية النصوص الإسبانية والإنكليزية والروسية والصينية والعربية والفرنسية لهذه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hAnsiTheme="minorBidi"/>
          <w:color w:val="000000" w:themeColor="text1"/>
          <w:sz w:val="32"/>
          <w:szCs w:val="32"/>
          <w:rtl/>
        </w:rPr>
      </w:pPr>
      <w:r w:rsidRPr="00443AB2">
        <w:rPr>
          <w:rFonts w:asciiTheme="minorBidi" w:eastAsia="Times New Roman" w:hAnsiTheme="minorBidi"/>
          <w:color w:val="000000" w:themeColor="text1"/>
          <w:sz w:val="32"/>
          <w:szCs w:val="32"/>
          <w:rtl/>
        </w:rPr>
        <w:t>وإثباتا لذلك، وقّع هذه الاتفاقية الموقعون أدناه المفوَّضون، المأذون لهم على النحو الواجب من حكومة كل منهم</w:t>
      </w:r>
      <w:r w:rsidRPr="00443AB2">
        <w:rPr>
          <w:rFonts w:asciiTheme="minorBidi" w:eastAsia="Times New Roman" w:hAnsiTheme="minorBidi"/>
          <w:color w:val="000000" w:themeColor="text1"/>
          <w:sz w:val="32"/>
          <w:szCs w:val="32"/>
        </w:rPr>
        <w:t>.</w:t>
      </w:r>
    </w:p>
    <w:p w:rsidR="00DD2A0B" w:rsidRDefault="00B15829" w:rsidP="00B15829">
      <w:pPr>
        <w:pStyle w:val="Heading2"/>
        <w:bidi/>
        <w:rPr>
          <w:rFonts w:asciiTheme="minorBidi" w:hAnsiTheme="minorBidi" w:cstheme="minorBidi"/>
          <w:color w:val="1F4E79" w:themeColor="accent1" w:themeShade="80"/>
          <w:sz w:val="36"/>
          <w:szCs w:val="36"/>
          <w:rtl/>
        </w:rPr>
      </w:pPr>
      <w:r w:rsidRPr="00B15829">
        <w:rPr>
          <w:rFonts w:asciiTheme="minorBidi" w:eastAsia="Times New Roman" w:hAnsiTheme="minorBidi" w:cstheme="minorBidi" w:hint="cs"/>
          <w:color w:val="1F4E79" w:themeColor="accent1" w:themeShade="80"/>
          <w:sz w:val="36"/>
          <w:szCs w:val="36"/>
          <w:rtl/>
        </w:rPr>
        <w:t>البروتوكول الاختياري</w:t>
      </w:r>
      <w:r>
        <w:rPr>
          <w:rFonts w:asciiTheme="minorBidi" w:eastAsia="Times New Roman" w:hAnsiTheme="minorBidi" w:cstheme="minorBidi" w:hint="cs"/>
          <w:color w:val="1F4E79" w:themeColor="accent1" w:themeShade="80"/>
          <w:sz w:val="36"/>
          <w:szCs w:val="36"/>
          <w:rtl/>
        </w:rPr>
        <w:t xml:space="preserve"> </w:t>
      </w:r>
      <w:r w:rsidR="00DD2A0B" w:rsidRPr="00B15829">
        <w:rPr>
          <w:rFonts w:asciiTheme="minorBidi" w:hAnsiTheme="minorBidi" w:cstheme="minorBidi"/>
          <w:color w:val="1F4E79" w:themeColor="accent1" w:themeShade="80"/>
          <w:sz w:val="36"/>
          <w:szCs w:val="36"/>
          <w:rtl/>
        </w:rPr>
        <w:t>لاتفاقية حقوق الأشخاص ذوي الإعاقة</w:t>
      </w:r>
    </w:p>
    <w:p w:rsidR="00B15829" w:rsidRPr="00B15829" w:rsidRDefault="00B15829" w:rsidP="00B15829">
      <w:pPr>
        <w:bidi/>
      </w:pPr>
    </w:p>
    <w:p w:rsidR="00EB12F9" w:rsidRPr="00443AB2" w:rsidRDefault="00EB12F9" w:rsidP="0090070D">
      <w:pPr>
        <w:bidi/>
        <w:rPr>
          <w:rFonts w:asciiTheme="minorBidi" w:hAnsiTheme="minorBidi"/>
          <w:sz w:val="32"/>
          <w:szCs w:val="32"/>
          <w:rtl/>
        </w:rPr>
      </w:pPr>
      <w:r w:rsidRPr="00443AB2">
        <w:rPr>
          <w:rFonts w:asciiTheme="minorBidi" w:hAnsiTheme="minorBidi"/>
          <w:sz w:val="32"/>
          <w:szCs w:val="32"/>
          <w:rtl/>
        </w:rPr>
        <w:t>إن الدول الأطراف في هذا البروتوكول قد اتفقت على ما يلي</w:t>
      </w:r>
      <w:r w:rsidRPr="00443AB2">
        <w:rPr>
          <w:rFonts w:asciiTheme="minorBidi" w:hAnsiTheme="minorBidi"/>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w:t>
      </w:r>
    </w:p>
    <w:p w:rsidR="00DD2A0B" w:rsidRPr="0090070D" w:rsidRDefault="00DD2A0B" w:rsidP="006C40F4">
      <w:pPr>
        <w:pStyle w:val="ListParagraph"/>
        <w:numPr>
          <w:ilvl w:val="0"/>
          <w:numId w:val="61"/>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تعترف الدولة الطرف في هذا البروتوكول (الدولة الطرف) باختصاص لجنة حقوق الأشخاص ذوي الإعاقة (اللجنة) بتلقي البلاغات من الأفراد أو مجموعات الأفراد أو باسم الأفراد أو مجموعات الأفراد المشمولين باختصاصها والذين يدعون أنهم ضحايا انتهاك دولة طرف لأحكام الاتفاقية</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1"/>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لا يجوز للجنة تسلم أي بلاغ يتعلق بأي دولة طرف في الاتفاقية لا تكون طرفا في هذا البروتوكول</w:t>
      </w:r>
      <w:r w:rsidRPr="0090070D">
        <w:rPr>
          <w:rFonts w:asciiTheme="minorBidi" w:eastAsia="Times New Roman" w:hAnsiTheme="minorBidi"/>
          <w:color w:val="000000" w:themeColor="text1"/>
          <w:sz w:val="32"/>
          <w:szCs w:val="32"/>
        </w:rPr>
        <w:t xml:space="preserve">. </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2</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تعتبر اللجنة البلاغ غير مقبول</w:t>
      </w:r>
      <w:r w:rsidRPr="00443AB2">
        <w:rPr>
          <w:rFonts w:asciiTheme="minorBidi" w:hAnsiTheme="minorBidi"/>
          <w:color w:val="000000" w:themeColor="text1"/>
          <w:sz w:val="32"/>
          <w:szCs w:val="32"/>
        </w:rPr>
        <w:t>:</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متى كان البلاغ مجهولا؛</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شكل البلاغ إساءة استعمال للحق في تقديم تلك البلاغات أو كان منافيا لأحكام الاتفاقية؛</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كانت المسألة نفسها قد سبق أن نظرت فيها اللجنة أو كانت، أو ما زالت، محل دراسة بمقتضى إجراء آخر من إجراءات التحقيق الدولي أو التسوية الدولية؛</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لم تُستنفد كافة وسائل الانتصاف الداخلية. ولا تسري هذه القاعدة إذا كان إعمال وسائل الانتصاف قد طال أمده بصورة غير معقولة أو كان من غير المرجح أن يفضي إلى انتصاف فعال؛</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كان بلا أساس واضح أو كان غير مدعم ببراهين كافية؛</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متى كانت الوقائع موضوع البلاغ قد حدثت قبل بدء نفاذ هذا البروتوكول بالنسبة للدولة الطرف المعنية، إلا إذا استمرت تلك الوقائع بعد تاريخ النفاذ</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3</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رهنا بأحكام المادة 2 من هذا البروتوكول، تتوخى اللجنة السرية في عرض أي بلاغ يقدم إليها على الدولة الطرف. وتقدم الدولة الطرف المتلقية إلى اللجنة، في غضون ستة أشهر، تفسيرات أو بيانات مكتوبة توضح فيها المسألة وتوضح أي إجراءات انتصاف تكون تلك الدولة قد اتخذتها</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4</w:t>
      </w:r>
    </w:p>
    <w:p w:rsidR="00DD2A0B" w:rsidRPr="0090070D" w:rsidRDefault="00DD2A0B" w:rsidP="006C40F4">
      <w:pPr>
        <w:pStyle w:val="ListParagraph"/>
        <w:numPr>
          <w:ilvl w:val="0"/>
          <w:numId w:val="63"/>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في أي وقت بعد تسلم بلاغ ما وقبل التوصل إلى قرار بشأن موضوعه، أن تحيل إلى الدولة الطرف المعنية للنظر، على سبيل الاستعجال، طلبا بأن تتخذ الدولة الطرف ما يلزم من تدابير مؤقتة لتفادي إلحاق ضرر لا يمكن رفعه بضحية الانتهاك المزعوم أو ضحاياه</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3"/>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عندما تمارس اللجنة سلطتها التقديرية وفقا للفقرة 1 من هذه المادة، فإن ذلك لا يعني ضمنا اتخاذ قرار بشأن مقبولية البلاغ أو موضوعه</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5</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تعقد اللجنة جلسات مغلقة لدى بحثها البلاغات في إطار هذا البروتوكول. وتقوم اللجنة، بعد دراسة البلاغ، بإحالة اقتراحاتها وتوصياتها، إن وجدت، إلى الدولة الطرف المعنية وإلى الملتمِس</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6</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إذا تلقت اللجنة معلومات موثوقا بها تدل على وقوع انتهاكات جسيمة أو منتظمة من جانب دولة طرف للحقوق المنصوص عليها في الاتفاقية، تدعو اللجنة تلك الدولة الطرف إلى التعاون في فحص المعلومات وتقديم ملاحظات بشأن المعلومات المعنية لهذا الغرض</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أن تعين عضوا أو أكثر من أعضائها لإجراء تحر وتقديم تقرير على وجه الاستعجال إلى اللجنة، آخذة في اعتبارها أي ملاحظات تقدمها إليها الدولة الطرف المعنية وأي معلومات أخرى موثوق بها متاحة لها. ويجوز أن يتضمن التحري القيام بزيارة لإقليم الدولة الطرف، متى استلزم الأمر ذلك وبموافقتها</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تقوم اللجنة، بعد دراسة نتائج ذلك التحري، بإحالة تلك النتائج إلى الدولة الطرف المعنية مشفوعة بأي تعليقات وتوصيات</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تقوم الدولة الطرف المعنية، في غضون ستة أشهر من تلقي النتائج والتعليقات والتوصيات التي أحالتها اللجنة، بتقديم ملاحظاتها إلى اللجنة</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يجري ذلك التحري بصفة سرية، ويُلتمس تعاون تلك الدولة الطرف في جميع مراحل الإجراءات</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7</w:t>
      </w:r>
    </w:p>
    <w:p w:rsidR="00DD2A0B" w:rsidRPr="0090070D" w:rsidRDefault="00DD2A0B" w:rsidP="006C40F4">
      <w:pPr>
        <w:pStyle w:val="ListParagraph"/>
        <w:numPr>
          <w:ilvl w:val="0"/>
          <w:numId w:val="65"/>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أن تدعو الدولة الطرف المعنية إلى أن تدرج في تقريرها المقدم بموجب المادة 35 من الاتفاقية تفاصيل أي تدابير متخذة استجابة لتحر أجري بموجب المادة 6 من هذا البروتوكول</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5"/>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عند الاقتضاء، بعد انتهاء فترة الستة أشهر المشار إليها في المادة 6-4، أن تدعو الدولة الطرف المعنية إلى إبلاغها بالتدابير المتخذة استجابة لذلك التحري</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8</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 xml:space="preserve">يجوز للدولة الطرف، وقت توقيع هذا البروتوكول أو التصديق عليه أو الانضمام إليه، أن تعلن أنها لا تعترف باختصاص اللجنة المنصوص عليه في المادتين 6 </w:t>
      </w:r>
      <w:proofErr w:type="gramStart"/>
      <w:r w:rsidRPr="00443AB2">
        <w:rPr>
          <w:rFonts w:asciiTheme="minorBidi" w:hAnsiTheme="minorBidi"/>
          <w:color w:val="000000" w:themeColor="text1"/>
          <w:sz w:val="32"/>
          <w:szCs w:val="32"/>
          <w:rtl/>
        </w:rPr>
        <w:t>و 7</w:t>
      </w:r>
      <w:proofErr w:type="gramEnd"/>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9</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يكون الأمين العام للأمم المتحدة وديع هذا البروتوكول</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10</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يفتح باب التوقيع على هذه البروتوكول للدول ومنظمات التكامل الإقليمي الموقعة على الاتفاقية وذلك في مقر الأمم المتحدة في نيويورك اعتبارا من 30 آذار/مارس 2007</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11</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يخضع هذا البروتوكول لتصديق الدول الموقعة على هذا البروتوكول التي صدقت على الاتفاقية أو انضمت إليها. ويخضع للإقرار الرسمي من جانب منظمات التكامل الإقليمي الموقعة على هذا البروتوكول والتي أقرت الاتفاقية رسميا أو انضمت إليها. ويكون الانضمام إلى هذا البروتوكول مفتوحا لأي دولة أو منظمة للتكامل الإقليمي صدقت على الاتفاقية أو أقرتها رسميا أو انضمت إليها ولم توقع البروتوكول</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12</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 xml:space="preserve">يقصد </w:t>
      </w:r>
      <w:proofErr w:type="gramStart"/>
      <w:r w:rsidRPr="0090070D">
        <w:rPr>
          <w:rFonts w:asciiTheme="minorBidi" w:eastAsia="Times New Roman" w:hAnsiTheme="minorBidi"/>
          <w:color w:val="000000" w:themeColor="text1"/>
          <w:sz w:val="32"/>
          <w:szCs w:val="32"/>
          <w:rtl/>
        </w:rPr>
        <w:t>بـتعبير ’’منظمة</w:t>
      </w:r>
      <w:proofErr w:type="gramEnd"/>
      <w:r w:rsidRPr="0090070D">
        <w:rPr>
          <w:rFonts w:asciiTheme="minorBidi" w:eastAsia="Times New Roman" w:hAnsiTheme="minorBidi"/>
          <w:color w:val="000000" w:themeColor="text1"/>
          <w:sz w:val="32"/>
          <w:szCs w:val="32"/>
          <w:rtl/>
        </w:rPr>
        <w:t xml:space="preserve"> التكامل الإقليمي‘‘ منظمة تشكلها الدول ذات السيادة في منطقة ما وتنقل إليها الدول الأعضاء فيها الاختصاص فيما يتعلق بالمسائل التي تحكمها هذه الاتفاقية وهذا البروتوكول. وتعلن تلك المنظمات، في صكوك إقرارها الرسمي أو انضمامها، نطاق اختصاصها فيما يتعلق بالمسائل التي تحكمها هذه الاتفاقية وهذا البروتوكول. وتبلغ الوديع فيما بعد بأي تعديل جوهري في نطاق اختصاصها</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تنطبق الإشارات في هذه البروتوكول إلى الدول الأطراف على تلك المنظمات في حدود اختصاصها</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لأغراض الفقرة 1 من المادة 13 والفقرة 2 من المادة 15، لا يعتد بأي صك تودعه منظمة للتكامل الإقليمي</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تمارس منظمات التكامل الإقليمي، في الأمور التي تندرج ضمن نطاق اختصاصها، حقها في التصويت في اجتماع الدول الأطراف، بعدد من الأصوات مساو لعدد دولها الأعضاء التي هي أطراف في هذا البروتوكول. ولا تمارس تلك المنظمات حقها في التصويت إذا مارست أي دولة من الدول الأعضاء فيها حقها في التصويت، والعكس صحيح</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13</w:t>
      </w:r>
    </w:p>
    <w:p w:rsidR="00DD2A0B" w:rsidRPr="0090070D" w:rsidRDefault="00DD2A0B" w:rsidP="006C40F4">
      <w:pPr>
        <w:pStyle w:val="ListParagraph"/>
        <w:numPr>
          <w:ilvl w:val="0"/>
          <w:numId w:val="67"/>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رهنا ببدء نفاذ الاتفاقية، يبدأ نفاذ هذا البروتوكول في اليوم الثلاثين من إيداع الصك العاشر للتصديق أو الانضمام</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7"/>
        </w:numPr>
        <w:bidi/>
        <w:spacing w:after="0" w:line="360" w:lineRule="auto"/>
        <w:rPr>
          <w:rFonts w:asciiTheme="minorBidi" w:eastAsia="Times New Roman" w:hAnsiTheme="minorBidi"/>
          <w:color w:val="000000" w:themeColor="text1"/>
          <w:sz w:val="32"/>
          <w:szCs w:val="32"/>
          <w:rtl/>
        </w:rPr>
      </w:pPr>
      <w:r w:rsidRPr="0090070D">
        <w:rPr>
          <w:rFonts w:asciiTheme="minorBidi" w:eastAsia="Times New Roman" w:hAnsiTheme="minorBidi"/>
          <w:color w:val="000000" w:themeColor="text1"/>
          <w:sz w:val="32"/>
          <w:szCs w:val="32"/>
          <w:rtl/>
        </w:rPr>
        <w:t>يبدأ نفاذ هذا البروتوكول، بالنسبة لكل دولة أو منظمة للتكامل الإقليمي تصدّق على هذا البروتوكول أو تقره رسميا أو تنضم إليه بعد إيداع الصك العاشر من تلك الصكوك، في اليوم الثلاثين من تاريخ إيداع صكها</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14</w:t>
      </w:r>
    </w:p>
    <w:p w:rsidR="00DD2A0B" w:rsidRPr="0090070D" w:rsidRDefault="00DD2A0B" w:rsidP="006C40F4">
      <w:pPr>
        <w:pStyle w:val="ListParagraph"/>
        <w:numPr>
          <w:ilvl w:val="0"/>
          <w:numId w:val="68"/>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لا يجوز إبداء أي تحفظ يكون منافيا لموضوع هذا البروتوكول وغرضه</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8"/>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سحب التحفظات في أي وقت</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15</w:t>
      </w:r>
    </w:p>
    <w:p w:rsidR="00DD2A0B" w:rsidRPr="0090070D" w:rsidRDefault="00DD2A0B" w:rsidP="006C40F4">
      <w:pPr>
        <w:pStyle w:val="ListParagraph"/>
        <w:numPr>
          <w:ilvl w:val="0"/>
          <w:numId w:val="69"/>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لأي دولة طرف أن تقترح تعديلا لهذا البروتوكول وأن تقدمه إلى الأمين العام للأمم المتحدة. ويقوم الأمين العام بإبلاغ الدول الأطراف بأي تعديلات مقترحة، طالبا إليها إشعاره بما إذا كانت تحبذ عقد اجتماع للدول الأطراف للنظر في تلك المقترحات والبت فيها. فإذا حبذ عقد الاجتماع ثلث الدول الأطراف على الأقل، في غضون أربعة أشهر من ذلك الإبلاغ، فإن الأمين العام يعقد الاجتماع تحت رعاية الأمم المتحدة. ويقدم الأمين العام أي تعديل يعتمده ثلثا الدول الأطراف الحاضرة والمصوتة في الاجتماع إلى الجمعية العامة لإقراره ثم إلى كافة الدول الأطراف لقبوله</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9"/>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يبدأ نفاذ التعديل الذي يُعتمد ويُقَرّ وفقا للفقرة 1 من هذه الاتفاقية في اليوم الثلاثين من بلوغ عدد صكوك القبول المودعة ثلثي عدد الدول الأطراف في تاريخ اعتماد التعديل. ثم يبدأ نفاذ التعديل تجاه أي دولة طرف في اليوم الثلاثين من إيداع صك قبولها. ولا يكون التعديل ملزما إلا للدول الأطراف التي قبلته</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16</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يجوز لأي دولة طرف أن تنقض هذا البروتوكول بإشعار خطي توجهه إلى الأمين العام للأمم المتحدة. ويصبح هذا النقض نافذا بعد سنة واحدة من تاريخ تسلم الأمين العام ذلك الإشعار</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17</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يتاح نص هذا البروتوكول في أشكال يسهل الاطلاع عليها</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18</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تتساوى في الحجية النصوص الإسبانية والانكليزية والروسية والصينية والعربية والفرنسية لهذا البروتوكول</w:t>
      </w:r>
      <w:r w:rsidRPr="00443AB2">
        <w:rPr>
          <w:rFonts w:asciiTheme="minorBidi" w:hAnsiTheme="minorBidi"/>
          <w:color w:val="000000" w:themeColor="text1"/>
          <w:sz w:val="32"/>
          <w:szCs w:val="32"/>
        </w:rPr>
        <w:t>.</w:t>
      </w:r>
    </w:p>
    <w:p w:rsidR="00324C79"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وإثباتا لذلك، قام المفوضون الموقّعون أدناه، المخولون حسب الأصول من جانب حكوماتهم، بالتوقيع على هذا البروتوكول</w:t>
      </w:r>
    </w:p>
    <w:sectPr w:rsidR="00324C79" w:rsidRPr="00443A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94E" w:rsidRDefault="00EB194E" w:rsidP="00EC1572">
      <w:pPr>
        <w:spacing w:after="0" w:line="240" w:lineRule="auto"/>
      </w:pPr>
      <w:r>
        <w:separator/>
      </w:r>
    </w:p>
  </w:endnote>
  <w:endnote w:type="continuationSeparator" w:id="0">
    <w:p w:rsidR="00EB194E" w:rsidRDefault="00EB194E" w:rsidP="00EC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94E" w:rsidRDefault="00EB194E" w:rsidP="00EC1572">
      <w:pPr>
        <w:spacing w:after="0" w:line="240" w:lineRule="auto"/>
      </w:pPr>
      <w:r>
        <w:separator/>
      </w:r>
    </w:p>
  </w:footnote>
  <w:footnote w:type="continuationSeparator" w:id="0">
    <w:p w:rsidR="00EB194E" w:rsidRDefault="00EB194E" w:rsidP="00EC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72" w:rsidRDefault="00EC1572" w:rsidP="00EC1572">
    <w:pPr>
      <w:pStyle w:val="Header"/>
      <w:rPr>
        <w:lang w:bidi="ar-QA"/>
      </w:rPr>
    </w:pPr>
  </w:p>
  <w:p w:rsidR="00EC1572" w:rsidRDefault="00EC1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C00"/>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C667E"/>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81BF3"/>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03F08"/>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C6194"/>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501"/>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21192"/>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20F5E"/>
    <w:multiLevelType w:val="hybridMultilevel"/>
    <w:tmpl w:val="7E340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8016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A2788"/>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36840"/>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B3A0C"/>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C55DB"/>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10DE9"/>
    <w:multiLevelType w:val="hybridMultilevel"/>
    <w:tmpl w:val="89445DD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27021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23B0A"/>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3751B"/>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1798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4D6617"/>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C709A"/>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7A53D3"/>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D31697"/>
    <w:multiLevelType w:val="hybridMultilevel"/>
    <w:tmpl w:val="5448D32A"/>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B02E12"/>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B96151"/>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41586A"/>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8029D2"/>
    <w:multiLevelType w:val="hybridMultilevel"/>
    <w:tmpl w:val="2E340A7C"/>
    <w:lvl w:ilvl="0" w:tplc="A1442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113C3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704BB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951E80"/>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080125"/>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C203D4"/>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67FD6"/>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BB52A3"/>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934397"/>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2919D3"/>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03888"/>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3A10E9"/>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680DF6"/>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EA0725"/>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987E16"/>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3D33F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84248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3B186F"/>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451C0"/>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211FFE"/>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8C47C1"/>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A12315"/>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5D3E54"/>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BB7E40"/>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C63B5C"/>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E820C8"/>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341C5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C17233"/>
    <w:multiLevelType w:val="hybridMultilevel"/>
    <w:tmpl w:val="C0703FD8"/>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4E0797"/>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B07D9B"/>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857D21"/>
    <w:multiLevelType w:val="hybridMultilevel"/>
    <w:tmpl w:val="7E340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05A4A"/>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E10687"/>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0A0DEE"/>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A30D70"/>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4303B9"/>
    <w:multiLevelType w:val="hybridMultilevel"/>
    <w:tmpl w:val="C0703FD8"/>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A706F4"/>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B51B77"/>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1B4B6F"/>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6170F6"/>
    <w:multiLevelType w:val="hybridMultilevel"/>
    <w:tmpl w:val="5448D32A"/>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2C66EB"/>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965D0"/>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3625B3"/>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60"/>
  </w:num>
  <w:num w:numId="3">
    <w:abstractNumId w:val="64"/>
  </w:num>
  <w:num w:numId="4">
    <w:abstractNumId w:val="1"/>
  </w:num>
  <w:num w:numId="5">
    <w:abstractNumId w:val="21"/>
  </w:num>
  <w:num w:numId="6">
    <w:abstractNumId w:val="25"/>
  </w:num>
  <w:num w:numId="7">
    <w:abstractNumId w:val="15"/>
  </w:num>
  <w:num w:numId="8">
    <w:abstractNumId w:val="62"/>
  </w:num>
  <w:num w:numId="9">
    <w:abstractNumId w:val="44"/>
  </w:num>
  <w:num w:numId="10">
    <w:abstractNumId w:val="53"/>
  </w:num>
  <w:num w:numId="11">
    <w:abstractNumId w:val="13"/>
  </w:num>
  <w:num w:numId="12">
    <w:abstractNumId w:val="8"/>
  </w:num>
  <w:num w:numId="13">
    <w:abstractNumId w:val="14"/>
  </w:num>
  <w:num w:numId="14">
    <w:abstractNumId w:val="51"/>
  </w:num>
  <w:num w:numId="15">
    <w:abstractNumId w:val="49"/>
  </w:num>
  <w:num w:numId="16">
    <w:abstractNumId w:val="47"/>
  </w:num>
  <w:num w:numId="17">
    <w:abstractNumId w:val="46"/>
  </w:num>
  <w:num w:numId="18">
    <w:abstractNumId w:val="17"/>
  </w:num>
  <w:num w:numId="19">
    <w:abstractNumId w:val="3"/>
  </w:num>
  <w:num w:numId="20">
    <w:abstractNumId w:val="36"/>
  </w:num>
  <w:num w:numId="21">
    <w:abstractNumId w:val="11"/>
  </w:num>
  <w:num w:numId="22">
    <w:abstractNumId w:val="16"/>
  </w:num>
  <w:num w:numId="23">
    <w:abstractNumId w:val="5"/>
  </w:num>
  <w:num w:numId="24">
    <w:abstractNumId w:val="67"/>
  </w:num>
  <w:num w:numId="25">
    <w:abstractNumId w:val="66"/>
  </w:num>
  <w:num w:numId="26">
    <w:abstractNumId w:val="65"/>
  </w:num>
  <w:num w:numId="27">
    <w:abstractNumId w:val="4"/>
  </w:num>
  <w:num w:numId="28">
    <w:abstractNumId w:val="28"/>
  </w:num>
  <w:num w:numId="29">
    <w:abstractNumId w:val="43"/>
  </w:num>
  <w:num w:numId="30">
    <w:abstractNumId w:val="6"/>
  </w:num>
  <w:num w:numId="31">
    <w:abstractNumId w:val="45"/>
  </w:num>
  <w:num w:numId="32">
    <w:abstractNumId w:val="2"/>
  </w:num>
  <w:num w:numId="33">
    <w:abstractNumId w:val="35"/>
  </w:num>
  <w:num w:numId="34">
    <w:abstractNumId w:val="29"/>
  </w:num>
  <w:num w:numId="35">
    <w:abstractNumId w:val="9"/>
  </w:num>
  <w:num w:numId="36">
    <w:abstractNumId w:val="40"/>
  </w:num>
  <w:num w:numId="37">
    <w:abstractNumId w:val="54"/>
  </w:num>
  <w:num w:numId="38">
    <w:abstractNumId w:val="58"/>
  </w:num>
  <w:num w:numId="39">
    <w:abstractNumId w:val="39"/>
  </w:num>
  <w:num w:numId="40">
    <w:abstractNumId w:val="7"/>
  </w:num>
  <w:num w:numId="41">
    <w:abstractNumId w:val="55"/>
  </w:num>
  <w:num w:numId="42">
    <w:abstractNumId w:val="34"/>
  </w:num>
  <w:num w:numId="43">
    <w:abstractNumId w:val="41"/>
  </w:num>
  <w:num w:numId="44">
    <w:abstractNumId w:val="50"/>
  </w:num>
  <w:num w:numId="45">
    <w:abstractNumId w:val="48"/>
  </w:num>
  <w:num w:numId="46">
    <w:abstractNumId w:val="27"/>
  </w:num>
  <w:num w:numId="47">
    <w:abstractNumId w:val="26"/>
  </w:num>
  <w:num w:numId="48">
    <w:abstractNumId w:val="42"/>
  </w:num>
  <w:num w:numId="49">
    <w:abstractNumId w:val="0"/>
  </w:num>
  <w:num w:numId="50">
    <w:abstractNumId w:val="59"/>
  </w:num>
  <w:num w:numId="51">
    <w:abstractNumId w:val="59"/>
    <w:lvlOverride w:ilvl="0">
      <w:lvl w:ilvl="0" w:tplc="D924E1E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2">
    <w:abstractNumId w:val="38"/>
  </w:num>
  <w:num w:numId="53">
    <w:abstractNumId w:val="33"/>
  </w:num>
  <w:num w:numId="54">
    <w:abstractNumId w:val="30"/>
  </w:num>
  <w:num w:numId="55">
    <w:abstractNumId w:val="20"/>
  </w:num>
  <w:num w:numId="56">
    <w:abstractNumId w:val="19"/>
  </w:num>
  <w:num w:numId="57">
    <w:abstractNumId w:val="22"/>
  </w:num>
  <w:num w:numId="58">
    <w:abstractNumId w:val="18"/>
  </w:num>
  <w:num w:numId="59">
    <w:abstractNumId w:val="37"/>
  </w:num>
  <w:num w:numId="60">
    <w:abstractNumId w:val="31"/>
  </w:num>
  <w:num w:numId="61">
    <w:abstractNumId w:val="57"/>
  </w:num>
  <w:num w:numId="62">
    <w:abstractNumId w:val="12"/>
  </w:num>
  <w:num w:numId="63">
    <w:abstractNumId w:val="63"/>
  </w:num>
  <w:num w:numId="64">
    <w:abstractNumId w:val="23"/>
  </w:num>
  <w:num w:numId="65">
    <w:abstractNumId w:val="32"/>
  </w:num>
  <w:num w:numId="66">
    <w:abstractNumId w:val="61"/>
  </w:num>
  <w:num w:numId="67">
    <w:abstractNumId w:val="56"/>
  </w:num>
  <w:num w:numId="68">
    <w:abstractNumId w:val="10"/>
  </w:num>
  <w:num w:numId="69">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4B"/>
    <w:rsid w:val="0001141F"/>
    <w:rsid w:val="000B1F51"/>
    <w:rsid w:val="000B7543"/>
    <w:rsid w:val="00307603"/>
    <w:rsid w:val="00324C79"/>
    <w:rsid w:val="00415523"/>
    <w:rsid w:val="00443AB2"/>
    <w:rsid w:val="0052000E"/>
    <w:rsid w:val="005316F8"/>
    <w:rsid w:val="00546E78"/>
    <w:rsid w:val="005C6F56"/>
    <w:rsid w:val="00657D31"/>
    <w:rsid w:val="006C40F4"/>
    <w:rsid w:val="007475DD"/>
    <w:rsid w:val="0090070D"/>
    <w:rsid w:val="00960094"/>
    <w:rsid w:val="009730B8"/>
    <w:rsid w:val="009B571A"/>
    <w:rsid w:val="00A53452"/>
    <w:rsid w:val="00AB3D29"/>
    <w:rsid w:val="00B15829"/>
    <w:rsid w:val="00B91E4B"/>
    <w:rsid w:val="00BE49C7"/>
    <w:rsid w:val="00C403F2"/>
    <w:rsid w:val="00C57397"/>
    <w:rsid w:val="00D15FEB"/>
    <w:rsid w:val="00DD2A0B"/>
    <w:rsid w:val="00E34792"/>
    <w:rsid w:val="00EB12F9"/>
    <w:rsid w:val="00EB194E"/>
    <w:rsid w:val="00EC1572"/>
    <w:rsid w:val="00FB205C"/>
    <w:rsid w:val="00FB35B4"/>
    <w:rsid w:val="00FD30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31E56-A1DA-4F4A-A7D4-2E807353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2A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00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D2A0B"/>
    <w:pPr>
      <w:spacing w:before="100" w:beforeAutospacing="1" w:after="100" w:afterAutospacing="1" w:line="240" w:lineRule="auto"/>
      <w:outlineLvl w:val="2"/>
    </w:pPr>
    <w:rPr>
      <w:rFonts w:ascii="Segoe UI" w:eastAsia="Times New Roman" w:hAnsi="Segoe UI" w:cs="Segoe UI"/>
      <w:color w:val="262626"/>
      <w:sz w:val="28"/>
      <w:szCs w:val="28"/>
    </w:rPr>
  </w:style>
  <w:style w:type="paragraph" w:styleId="Heading4">
    <w:name w:val="heading 4"/>
    <w:basedOn w:val="Normal"/>
    <w:next w:val="Normal"/>
    <w:link w:val="Heading4Char"/>
    <w:uiPriority w:val="9"/>
    <w:unhideWhenUsed/>
    <w:qFormat/>
    <w:rsid w:val="009007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A0B"/>
    <w:rPr>
      <w:rFonts w:ascii="Segoe UI" w:eastAsia="Times New Roman" w:hAnsi="Segoe UI" w:cs="Segoe UI"/>
      <w:color w:val="262626"/>
      <w:sz w:val="28"/>
      <w:szCs w:val="28"/>
    </w:rPr>
  </w:style>
  <w:style w:type="paragraph" w:styleId="NormalWeb">
    <w:name w:val="Normal (Web)"/>
    <w:basedOn w:val="Normal"/>
    <w:uiPriority w:val="99"/>
    <w:semiHidden/>
    <w:unhideWhenUsed/>
    <w:rsid w:val="00DD2A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D2A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A0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D2A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2000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2000E"/>
    <w:pPr>
      <w:ind w:left="720"/>
      <w:contextualSpacing/>
    </w:pPr>
  </w:style>
  <w:style w:type="character" w:customStyle="1" w:styleId="Heading4Char">
    <w:name w:val="Heading 4 Char"/>
    <w:basedOn w:val="DefaultParagraphFont"/>
    <w:link w:val="Heading4"/>
    <w:uiPriority w:val="9"/>
    <w:rsid w:val="0090070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C1572"/>
    <w:rPr>
      <w:color w:val="0563C1" w:themeColor="hyperlink"/>
      <w:u w:val="single"/>
    </w:rPr>
  </w:style>
  <w:style w:type="paragraph" w:styleId="Header">
    <w:name w:val="header"/>
    <w:basedOn w:val="Normal"/>
    <w:link w:val="HeaderChar"/>
    <w:uiPriority w:val="99"/>
    <w:unhideWhenUsed/>
    <w:rsid w:val="00EC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72"/>
  </w:style>
  <w:style w:type="paragraph" w:styleId="Footer">
    <w:name w:val="footer"/>
    <w:basedOn w:val="Normal"/>
    <w:link w:val="FooterChar"/>
    <w:uiPriority w:val="99"/>
    <w:unhideWhenUsed/>
    <w:rsid w:val="00EC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14235">
      <w:bodyDiv w:val="1"/>
      <w:marLeft w:val="0"/>
      <w:marRight w:val="0"/>
      <w:marTop w:val="0"/>
      <w:marBottom w:val="0"/>
      <w:divBdr>
        <w:top w:val="none" w:sz="0" w:space="0" w:color="auto"/>
        <w:left w:val="none" w:sz="0" w:space="0" w:color="auto"/>
        <w:bottom w:val="none" w:sz="0" w:space="0" w:color="auto"/>
        <w:right w:val="none" w:sz="0" w:space="0" w:color="auto"/>
      </w:divBdr>
      <w:divsChild>
        <w:div w:id="647247748">
          <w:marLeft w:val="0"/>
          <w:marRight w:val="0"/>
          <w:marTop w:val="0"/>
          <w:marBottom w:val="0"/>
          <w:divBdr>
            <w:top w:val="none" w:sz="0" w:space="0" w:color="auto"/>
            <w:left w:val="none" w:sz="0" w:space="0" w:color="auto"/>
            <w:bottom w:val="none" w:sz="0" w:space="0" w:color="auto"/>
            <w:right w:val="none" w:sz="0" w:space="0" w:color="auto"/>
          </w:divBdr>
          <w:divsChild>
            <w:div w:id="1569456823">
              <w:marLeft w:val="0"/>
              <w:marRight w:val="0"/>
              <w:marTop w:val="0"/>
              <w:marBottom w:val="0"/>
              <w:divBdr>
                <w:top w:val="none" w:sz="0" w:space="0" w:color="auto"/>
                <w:left w:val="none" w:sz="0" w:space="0" w:color="auto"/>
                <w:bottom w:val="none" w:sz="0" w:space="0" w:color="auto"/>
                <w:right w:val="none" w:sz="0" w:space="0" w:color="auto"/>
              </w:divBdr>
              <w:divsChild>
                <w:div w:id="1417508124">
                  <w:marLeft w:val="0"/>
                  <w:marRight w:val="0"/>
                  <w:marTop w:val="0"/>
                  <w:marBottom w:val="0"/>
                  <w:divBdr>
                    <w:top w:val="none" w:sz="0" w:space="0" w:color="auto"/>
                    <w:left w:val="none" w:sz="0" w:space="0" w:color="auto"/>
                    <w:bottom w:val="none" w:sz="0" w:space="0" w:color="auto"/>
                    <w:right w:val="none" w:sz="0" w:space="0" w:color="auto"/>
                  </w:divBdr>
                  <w:divsChild>
                    <w:div w:id="679357025">
                      <w:marLeft w:val="0"/>
                      <w:marRight w:val="0"/>
                      <w:marTop w:val="0"/>
                      <w:marBottom w:val="0"/>
                      <w:divBdr>
                        <w:top w:val="none" w:sz="0" w:space="0" w:color="auto"/>
                        <w:left w:val="none" w:sz="0" w:space="0" w:color="auto"/>
                        <w:bottom w:val="none" w:sz="0" w:space="0" w:color="auto"/>
                        <w:right w:val="none" w:sz="0" w:space="0" w:color="auto"/>
                      </w:divBdr>
                      <w:divsChild>
                        <w:div w:id="1583567814">
                          <w:marLeft w:val="0"/>
                          <w:marRight w:val="0"/>
                          <w:marTop w:val="0"/>
                          <w:marBottom w:val="0"/>
                          <w:divBdr>
                            <w:top w:val="none" w:sz="0" w:space="0" w:color="auto"/>
                            <w:left w:val="none" w:sz="0" w:space="0" w:color="auto"/>
                            <w:bottom w:val="none" w:sz="0" w:space="0" w:color="auto"/>
                            <w:right w:val="none" w:sz="0" w:space="0" w:color="auto"/>
                          </w:divBdr>
                          <w:divsChild>
                            <w:div w:id="9812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ar/%D8%A7%D9%84%D8%A7%D8%AA%D9%81%D8%A7%D9%82%D9%8A%D8%A9-2.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QPT3VHF6MKWP-83287781-37770</_dlc_DocId>
    <_dlc_DocIdUrl xmlns="4595ca7b-3a15-4971-af5f-cadc29c03e04">
      <Url>https://www.qu.edu.qa/_layouts/15/DocIdRedir.aspx?ID=QPT3VHF6MKWP-83287781-37770</Url>
      <Description>QPT3VHF6MKWP-83287781-37770</Description>
    </_dlc_DocIdUrl>
  </documentManagement>
</p:properties>
</file>

<file path=customXml/itemProps1.xml><?xml version="1.0" encoding="utf-8"?>
<ds:datastoreItem xmlns:ds="http://schemas.openxmlformats.org/officeDocument/2006/customXml" ds:itemID="{EE1D4205-8B2C-43CC-B732-C8C80E11F9EA}">
  <ds:schemaRefs>
    <ds:schemaRef ds:uri="http://schemas.openxmlformats.org/officeDocument/2006/bibliography"/>
  </ds:schemaRefs>
</ds:datastoreItem>
</file>

<file path=customXml/itemProps2.xml><?xml version="1.0" encoding="utf-8"?>
<ds:datastoreItem xmlns:ds="http://schemas.openxmlformats.org/officeDocument/2006/customXml" ds:itemID="{350A485F-38CB-49BD-84BA-AECF298888C3}"/>
</file>

<file path=customXml/itemProps3.xml><?xml version="1.0" encoding="utf-8"?>
<ds:datastoreItem xmlns:ds="http://schemas.openxmlformats.org/officeDocument/2006/customXml" ds:itemID="{83651737-DBD6-457D-8A90-59BD7BA40D68}"/>
</file>

<file path=customXml/itemProps4.xml><?xml version="1.0" encoding="utf-8"?>
<ds:datastoreItem xmlns:ds="http://schemas.openxmlformats.org/officeDocument/2006/customXml" ds:itemID="{2F736197-7E01-43C8-ABC8-7337E88E0E62}"/>
</file>

<file path=customXml/itemProps5.xml><?xml version="1.0" encoding="utf-8"?>
<ds:datastoreItem xmlns:ds="http://schemas.openxmlformats.org/officeDocument/2006/customXml" ds:itemID="{4500D17D-9C65-4AAF-894F-B417A67970FC}"/>
</file>

<file path=docProps/app.xml><?xml version="1.0" encoding="utf-8"?>
<Properties xmlns="http://schemas.openxmlformats.org/officeDocument/2006/extended-properties" xmlns:vt="http://schemas.openxmlformats.org/officeDocument/2006/docPropsVTypes">
  <Template>Normal</Template>
  <TotalTime>34</TotalTime>
  <Pages>43</Pages>
  <Words>8430</Words>
  <Characters>48052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vpsa-media</cp:lastModifiedBy>
  <cp:revision>10</cp:revision>
  <dcterms:created xsi:type="dcterms:W3CDTF">2019-02-26T09:06:00Z</dcterms:created>
  <dcterms:modified xsi:type="dcterms:W3CDTF">2019-04-07T06:27:00Z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d5b5f8a2-f767-4755-91d3-801ed5af1f62</vt:lpwstr>
  </property>
</Properties>
</file>